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C50" w:rsidRDefault="00CD0C5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b/>
                <w:bCs/>
                <w:color w:val="000000"/>
                <w:sz w:val="28"/>
                <w:szCs w:val="28"/>
              </w:rPr>
            </w:pPr>
            <w:r>
              <w:rPr>
                <w:rFonts w:ascii="Arial" w:hAnsi="Arial" w:cs="Arial"/>
                <w:b/>
                <w:bCs/>
                <w:color w:val="000000"/>
                <w:sz w:val="28"/>
                <w:szCs w:val="28"/>
              </w:rPr>
              <w:t xml:space="preserve">1. Identification </w:t>
            </w:r>
          </w:p>
        </w:tc>
      </w:tr>
    </w:tbl>
    <w:p w:rsidR="00CD0C50" w:rsidRDefault="00B63D6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1.1. Product identifier</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CD0C50">
        <w:trPr>
          <w:tblCellSpacing w:w="15" w:type="dxa"/>
        </w:trPr>
        <w:tc>
          <w:tcPr>
            <w:tcW w:w="245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Product Identity</w:t>
            </w:r>
          </w:p>
        </w:tc>
        <w:tc>
          <w:tcPr>
            <w:tcW w:w="2400" w:type="pct"/>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Life Calk (Mahogany)</w:t>
            </w:r>
          </w:p>
        </w:tc>
        <w:tc>
          <w:tcPr>
            <w:tcW w:w="150" w:type="pct"/>
            <w:hideMark/>
          </w:tcPr>
          <w:p w:rsidR="00CD0C50" w:rsidRDefault="00B63D6C">
            <w:pPr>
              <w:rPr>
                <w:rFonts w:eastAsia="Times New Roman"/>
              </w:rPr>
            </w:pPr>
            <w:r>
              <w:rPr>
                <w:rFonts w:eastAsia="Times New Roman"/>
              </w:rPr>
              <w:t> </w:t>
            </w:r>
          </w:p>
        </w:tc>
      </w:tr>
      <w:tr w:rsidR="00CD0C50">
        <w:trPr>
          <w:tblCellSpacing w:w="15" w:type="dxa"/>
        </w:trPr>
        <w:tc>
          <w:tcPr>
            <w:tcW w:w="245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Alternate Names</w:t>
            </w:r>
          </w:p>
        </w:tc>
        <w:tc>
          <w:tcPr>
            <w:tcW w:w="2400" w:type="pct"/>
            <w:hideMark/>
          </w:tcPr>
          <w:p w:rsidR="00A10FCB" w:rsidRDefault="00A10FCB">
            <w:pPr>
              <w:rPr>
                <w:rFonts w:ascii="Arial" w:eastAsia="Times New Roman" w:hAnsi="Arial" w:cs="Arial"/>
                <w:color w:val="000000"/>
                <w:sz w:val="20"/>
                <w:szCs w:val="20"/>
              </w:rPr>
            </w:pPr>
            <w:r>
              <w:rPr>
                <w:rFonts w:ascii="Arial" w:eastAsia="Times New Roman" w:hAnsi="Arial" w:cs="Arial"/>
                <w:color w:val="000000"/>
                <w:sz w:val="20"/>
                <w:szCs w:val="20"/>
              </w:rPr>
              <w:t>Life Calk (Mahogany)</w:t>
            </w:r>
          </w:p>
          <w:p w:rsidR="00A10FCB" w:rsidRDefault="00A10FCB">
            <w:pPr>
              <w:rPr>
                <w:rFonts w:ascii="Arial" w:eastAsia="Times New Roman" w:hAnsi="Arial" w:cs="Arial"/>
                <w:color w:val="000000"/>
                <w:sz w:val="20"/>
                <w:szCs w:val="20"/>
              </w:rPr>
            </w:pPr>
            <w:r>
              <w:rPr>
                <w:rFonts w:ascii="Arial" w:eastAsia="Times New Roman" w:hAnsi="Arial" w:cs="Arial"/>
                <w:color w:val="000000"/>
                <w:sz w:val="20"/>
                <w:szCs w:val="20"/>
              </w:rPr>
              <w:t>Polysulfide Sealant</w:t>
            </w:r>
          </w:p>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Polysulfide Caulk</w:t>
            </w:r>
          </w:p>
          <w:p w:rsidR="00A10FCB" w:rsidRDefault="00A10FCB">
            <w:pPr>
              <w:rPr>
                <w:rFonts w:ascii="Arial" w:eastAsia="Times New Roman" w:hAnsi="Arial" w:cs="Arial"/>
                <w:color w:val="000000"/>
                <w:sz w:val="20"/>
                <w:szCs w:val="20"/>
              </w:rPr>
            </w:pPr>
            <w:r>
              <w:rPr>
                <w:rFonts w:ascii="Arial" w:eastAsia="Times New Roman" w:hAnsi="Arial" w:cs="Arial"/>
                <w:color w:val="000000"/>
                <w:sz w:val="20"/>
                <w:szCs w:val="20"/>
              </w:rPr>
              <w:t>Product Codes: 1032, 1035</w:t>
            </w:r>
          </w:p>
        </w:tc>
        <w:tc>
          <w:tcPr>
            <w:tcW w:w="150" w:type="pct"/>
            <w:hideMark/>
          </w:tcPr>
          <w:p w:rsidR="00CD0C50" w:rsidRDefault="00B63D6C">
            <w:pPr>
              <w:rPr>
                <w:rFonts w:eastAsia="Times New Roman"/>
              </w:rPr>
            </w:pPr>
            <w:r>
              <w:rPr>
                <w:rFonts w:eastAsia="Times New Roman"/>
              </w:rPr>
              <w:t> </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1.2. Relevant identified uses of the substance or mixture and uses advised against</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32"/>
        <w:gridCol w:w="5012"/>
        <w:gridCol w:w="356"/>
      </w:tblGrid>
      <w:tr w:rsidR="00CD0C50">
        <w:trPr>
          <w:tblCellSpacing w:w="15" w:type="dxa"/>
        </w:trPr>
        <w:tc>
          <w:tcPr>
            <w:tcW w:w="245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Intended use</w:t>
            </w:r>
          </w:p>
        </w:tc>
        <w:tc>
          <w:tcPr>
            <w:tcW w:w="2400" w:type="pct"/>
            <w:hideMark/>
          </w:tcPr>
          <w:p w:rsidR="00CD0C50" w:rsidRDefault="00A10FCB">
            <w:pPr>
              <w:rPr>
                <w:rFonts w:ascii="Arial" w:eastAsia="Times New Roman" w:hAnsi="Arial" w:cs="Arial"/>
                <w:color w:val="000000"/>
                <w:sz w:val="20"/>
                <w:szCs w:val="20"/>
              </w:rPr>
            </w:pPr>
            <w:r>
              <w:rPr>
                <w:rFonts w:ascii="Arial" w:eastAsia="Times New Roman" w:hAnsi="Arial" w:cs="Arial"/>
                <w:color w:val="000000"/>
                <w:sz w:val="20"/>
                <w:szCs w:val="20"/>
              </w:rPr>
              <w:t>Deck Sealant, Bedding Compound, General Sealant</w:t>
            </w:r>
          </w:p>
        </w:tc>
        <w:tc>
          <w:tcPr>
            <w:tcW w:w="150" w:type="pct"/>
            <w:hideMark/>
          </w:tcPr>
          <w:p w:rsidR="00CD0C50" w:rsidRDefault="00B63D6C">
            <w:pPr>
              <w:rPr>
                <w:rFonts w:eastAsia="Times New Roman"/>
              </w:rPr>
            </w:pPr>
            <w:r>
              <w:rPr>
                <w:rFonts w:eastAsia="Times New Roman"/>
              </w:rPr>
              <w:t> </w:t>
            </w:r>
          </w:p>
        </w:tc>
      </w:tr>
      <w:tr w:rsidR="00CD0C50">
        <w:trPr>
          <w:tblCellSpacing w:w="15" w:type="dxa"/>
        </w:trPr>
        <w:tc>
          <w:tcPr>
            <w:tcW w:w="245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Application Method</w:t>
            </w:r>
          </w:p>
        </w:tc>
        <w:tc>
          <w:tcPr>
            <w:tcW w:w="2400" w:type="pct"/>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See Technical Data Sheet.</w:t>
            </w:r>
          </w:p>
        </w:tc>
        <w:tc>
          <w:tcPr>
            <w:tcW w:w="150" w:type="pct"/>
            <w:hideMark/>
          </w:tcPr>
          <w:p w:rsidR="00CD0C50" w:rsidRDefault="00B63D6C">
            <w:pPr>
              <w:rPr>
                <w:rFonts w:eastAsia="Times New Roman"/>
              </w:rPr>
            </w:pPr>
            <w:r>
              <w:rPr>
                <w:rFonts w:eastAsia="Times New Roman"/>
              </w:rPr>
              <w:t> </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1.3. Details of the supplier of the safety data sheet</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304"/>
        <w:gridCol w:w="5196"/>
      </w:tblGrid>
      <w:tr w:rsidR="00CD0C50">
        <w:trPr>
          <w:tblCellSpacing w:w="15" w:type="dxa"/>
        </w:trPr>
        <w:tc>
          <w:tcPr>
            <w:tcW w:w="245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Company Name</w:t>
            </w:r>
          </w:p>
        </w:tc>
        <w:tc>
          <w:tcPr>
            <w:tcW w:w="2400" w:type="pct"/>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Life Industries Corporation</w:t>
            </w:r>
          </w:p>
        </w:tc>
      </w:tr>
      <w:tr w:rsidR="00CD0C50">
        <w:trPr>
          <w:tblCellSpacing w:w="15" w:type="dxa"/>
        </w:trPr>
        <w:tc>
          <w:tcPr>
            <w:tcW w:w="2450" w:type="pct"/>
            <w:hideMark/>
          </w:tcPr>
          <w:p w:rsidR="00CD0C50" w:rsidRDefault="00B63D6C">
            <w:pPr>
              <w:rPr>
                <w:rFonts w:eastAsia="Times New Roman"/>
              </w:rPr>
            </w:pPr>
            <w:r>
              <w:rPr>
                <w:rFonts w:eastAsia="Times New Roman"/>
              </w:rPr>
              <w:t> </w:t>
            </w:r>
          </w:p>
        </w:tc>
        <w:tc>
          <w:tcPr>
            <w:tcW w:w="2400" w:type="pct"/>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4060 Bridge View Drive</w:t>
            </w:r>
          </w:p>
        </w:tc>
      </w:tr>
      <w:tr w:rsidR="00CD0C50">
        <w:trPr>
          <w:tblCellSpacing w:w="15" w:type="dxa"/>
        </w:trPr>
        <w:tc>
          <w:tcPr>
            <w:tcW w:w="2450" w:type="pct"/>
            <w:hideMark/>
          </w:tcPr>
          <w:p w:rsidR="00CD0C50" w:rsidRDefault="00B63D6C">
            <w:pPr>
              <w:rPr>
                <w:rFonts w:eastAsia="Times New Roman"/>
              </w:rPr>
            </w:pPr>
            <w:r>
              <w:rPr>
                <w:rFonts w:eastAsia="Times New Roman"/>
              </w:rPr>
              <w:t> </w:t>
            </w:r>
          </w:p>
        </w:tc>
        <w:tc>
          <w:tcPr>
            <w:tcW w:w="2400" w:type="pct"/>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 Charleston, SC 29405</w:t>
            </w:r>
          </w:p>
        </w:tc>
      </w:tr>
      <w:tr w:rsidR="00CD0C50">
        <w:trPr>
          <w:tblCellSpacing w:w="15" w:type="dxa"/>
        </w:trPr>
        <w:tc>
          <w:tcPr>
            <w:tcW w:w="245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Emergency</w:t>
            </w:r>
          </w:p>
        </w:tc>
        <w:tc>
          <w:tcPr>
            <w:tcW w:w="2400" w:type="pct"/>
            <w:hideMark/>
          </w:tcPr>
          <w:p w:rsidR="00CD0C50" w:rsidRDefault="00CD0C50">
            <w:pPr>
              <w:rPr>
                <w:rFonts w:ascii="Arial" w:eastAsia="Times New Roman" w:hAnsi="Arial" w:cs="Arial"/>
                <w:b/>
                <w:bCs/>
                <w:color w:val="000000"/>
                <w:sz w:val="20"/>
                <w:szCs w:val="20"/>
              </w:rPr>
            </w:pPr>
          </w:p>
        </w:tc>
      </w:tr>
      <w:tr w:rsidR="00CD0C50">
        <w:trPr>
          <w:tblCellSpacing w:w="15" w:type="dxa"/>
        </w:trPr>
        <w:tc>
          <w:tcPr>
            <w:tcW w:w="245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CHEMTREC (USA)</w:t>
            </w:r>
          </w:p>
        </w:tc>
        <w:tc>
          <w:tcPr>
            <w:tcW w:w="2400" w:type="pct"/>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(800) 424-9300</w:t>
            </w:r>
          </w:p>
        </w:tc>
      </w:tr>
      <w:tr w:rsidR="00CD0C50">
        <w:trPr>
          <w:tblCellSpacing w:w="15" w:type="dxa"/>
        </w:trPr>
        <w:tc>
          <w:tcPr>
            <w:tcW w:w="245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24 hour Emergency Telephone No.</w:t>
            </w:r>
          </w:p>
        </w:tc>
        <w:tc>
          <w:tcPr>
            <w:tcW w:w="2400" w:type="pct"/>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USA: 1-800-424-9300</w:t>
            </w:r>
            <w:r>
              <w:rPr>
                <w:rFonts w:ascii="Arial" w:eastAsia="Times New Roman" w:hAnsi="Arial" w:cs="Arial"/>
                <w:color w:val="000000"/>
                <w:sz w:val="20"/>
                <w:szCs w:val="20"/>
              </w:rPr>
              <w:br/>
              <w:t xml:space="preserve">Outside USA: </w:t>
            </w:r>
            <w:r w:rsidR="00DE370A">
              <w:rPr>
                <w:rFonts w:ascii="Arial" w:eastAsia="Times New Roman" w:hAnsi="Arial" w:cs="Arial"/>
                <w:color w:val="000000"/>
                <w:sz w:val="20"/>
                <w:szCs w:val="20"/>
              </w:rPr>
              <w:t>+</w:t>
            </w:r>
            <w:r>
              <w:rPr>
                <w:rFonts w:ascii="Arial" w:eastAsia="Times New Roman" w:hAnsi="Arial" w:cs="Arial"/>
                <w:color w:val="000000"/>
                <w:sz w:val="20"/>
                <w:szCs w:val="20"/>
              </w:rPr>
              <w:t>1-703-527-3887</w:t>
            </w:r>
          </w:p>
        </w:tc>
      </w:tr>
      <w:tr w:rsidR="00CD0C50">
        <w:trPr>
          <w:tblCellSpacing w:w="15" w:type="dxa"/>
        </w:trPr>
        <w:tc>
          <w:tcPr>
            <w:tcW w:w="245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Customer Service: Life Industries Corporation</w:t>
            </w:r>
          </w:p>
        </w:tc>
        <w:tc>
          <w:tcPr>
            <w:tcW w:w="2400" w:type="pct"/>
            <w:hideMark/>
          </w:tcPr>
          <w:p w:rsidR="00CD0C50" w:rsidRDefault="00DE370A">
            <w:pPr>
              <w:rPr>
                <w:rFonts w:ascii="Arial" w:eastAsia="Times New Roman" w:hAnsi="Arial" w:cs="Arial"/>
                <w:color w:val="000000"/>
                <w:sz w:val="20"/>
                <w:szCs w:val="20"/>
              </w:rPr>
            </w:pPr>
            <w:r>
              <w:rPr>
                <w:rFonts w:ascii="Arial" w:eastAsia="Times New Roman" w:hAnsi="Arial" w:cs="Arial"/>
                <w:color w:val="000000"/>
                <w:sz w:val="20"/>
                <w:szCs w:val="20"/>
              </w:rPr>
              <w:t>+1-843-566-1225</w:t>
            </w:r>
          </w:p>
        </w:tc>
      </w:tr>
    </w:tbl>
    <w:p w:rsidR="00CD0C50" w:rsidRDefault="00CD0C5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b/>
                <w:bCs/>
                <w:color w:val="000000"/>
                <w:sz w:val="28"/>
                <w:szCs w:val="28"/>
              </w:rPr>
            </w:pPr>
            <w:r>
              <w:rPr>
                <w:rFonts w:ascii="Arial" w:hAnsi="Arial" w:cs="Arial"/>
                <w:b/>
                <w:bCs/>
                <w:color w:val="000000"/>
                <w:sz w:val="28"/>
                <w:szCs w:val="28"/>
              </w:rPr>
              <w:t xml:space="preserve">2. Hazard(s) identification </w:t>
            </w:r>
          </w:p>
        </w:tc>
      </w:tr>
    </w:tbl>
    <w:p w:rsidR="00CD0C50" w:rsidRDefault="00B63D6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495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2.1. Classification of the substance or mixture</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47"/>
        <w:gridCol w:w="7853"/>
      </w:tblGrid>
      <w:tr w:rsidR="00CD0C50">
        <w:trPr>
          <w:tblCellSpacing w:w="15" w:type="dxa"/>
        </w:trPr>
        <w:tc>
          <w:tcPr>
            <w:tcW w:w="1250" w:type="pct"/>
            <w:vAlign w:val="center"/>
            <w:hideMark/>
          </w:tcPr>
          <w:p w:rsidR="00CD0C50" w:rsidRDefault="00CD0C50">
            <w:pPr>
              <w:rPr>
                <w:rFonts w:eastAsia="Times New Roman"/>
              </w:rPr>
            </w:pPr>
          </w:p>
        </w:tc>
        <w:tc>
          <w:tcPr>
            <w:tcW w:w="3750" w:type="pct"/>
            <w:vAlign w:val="center"/>
            <w:hideMark/>
          </w:tcPr>
          <w:p w:rsidR="00CD0C50" w:rsidRDefault="00CD0C50">
            <w:pPr>
              <w:rPr>
                <w:rFonts w:eastAsia="Times New Roman"/>
                <w:sz w:val="20"/>
                <w:szCs w:val="20"/>
              </w:rPr>
            </w:pPr>
          </w:p>
        </w:tc>
      </w:tr>
      <w:tr w:rsidR="00CD0C50">
        <w:trPr>
          <w:tblCellSpacing w:w="15" w:type="dxa"/>
        </w:trPr>
        <w:tc>
          <w:tcPr>
            <w:tcW w:w="1250" w:type="pct"/>
            <w:vAlign w:val="center"/>
            <w:hideMark/>
          </w:tcPr>
          <w:p w:rsidR="00CD0C50" w:rsidRDefault="00CD0C50">
            <w:pPr>
              <w:rPr>
                <w:rFonts w:eastAsia="Times New Roman"/>
                <w:sz w:val="20"/>
                <w:szCs w:val="20"/>
              </w:rPr>
            </w:pPr>
          </w:p>
        </w:tc>
        <w:tc>
          <w:tcPr>
            <w:tcW w:w="3750" w:type="pct"/>
            <w:vAlign w:val="center"/>
            <w:hideMark/>
          </w:tcPr>
          <w:p w:rsidR="00CD0C50" w:rsidRDefault="00CD0C50">
            <w:pPr>
              <w:rPr>
                <w:rFonts w:eastAsia="Times New Roman"/>
                <w:sz w:val="20"/>
                <w:szCs w:val="20"/>
              </w:rPr>
            </w:pPr>
          </w:p>
        </w:tc>
      </w:tr>
      <w:tr w:rsidR="00CD0C50">
        <w:trPr>
          <w:tblCellSpacing w:w="15" w:type="dxa"/>
        </w:trPr>
        <w:tc>
          <w:tcPr>
            <w:tcW w:w="1250" w:type="pct"/>
            <w:vAlign w:val="center"/>
            <w:hideMark/>
          </w:tcPr>
          <w:p w:rsidR="00CD0C50" w:rsidRDefault="00B63D6C">
            <w:pPr>
              <w:rPr>
                <w:rFonts w:ascii="Arial" w:eastAsia="Times New Roman" w:hAnsi="Arial" w:cs="Arial"/>
                <w:color w:val="000000"/>
                <w:sz w:val="20"/>
                <w:szCs w:val="20"/>
              </w:rPr>
            </w:pPr>
            <w:proofErr w:type="spellStart"/>
            <w:r>
              <w:rPr>
                <w:rFonts w:ascii="Arial" w:eastAsia="Times New Roman" w:hAnsi="Arial" w:cs="Arial"/>
                <w:color w:val="000000"/>
                <w:sz w:val="20"/>
                <w:szCs w:val="20"/>
              </w:rPr>
              <w:t>Repr</w:t>
            </w:r>
            <w:proofErr w:type="spellEnd"/>
            <w:r>
              <w:rPr>
                <w:rFonts w:ascii="Arial" w:eastAsia="Times New Roman" w:hAnsi="Arial" w:cs="Arial"/>
                <w:color w:val="000000"/>
                <w:sz w:val="20"/>
                <w:szCs w:val="20"/>
              </w:rPr>
              <w:t>. 2;H361D</w:t>
            </w:r>
          </w:p>
        </w:tc>
        <w:tc>
          <w:tcPr>
            <w:tcW w:w="37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Suspected of damaging the unborn child.</w:t>
            </w:r>
          </w:p>
        </w:tc>
      </w:tr>
      <w:tr w:rsidR="00CD0C50">
        <w:trPr>
          <w:tblCellSpacing w:w="15" w:type="dxa"/>
        </w:trPr>
        <w:tc>
          <w:tcPr>
            <w:tcW w:w="1250" w:type="pct"/>
            <w:vAlign w:val="center"/>
            <w:hideMark/>
          </w:tcPr>
          <w:p w:rsidR="00CD0C50" w:rsidRDefault="00CD0C50">
            <w:pPr>
              <w:rPr>
                <w:rFonts w:ascii="Arial" w:eastAsia="Times New Roman" w:hAnsi="Arial" w:cs="Arial"/>
                <w:color w:val="000000"/>
                <w:sz w:val="20"/>
                <w:szCs w:val="20"/>
              </w:rPr>
            </w:pPr>
          </w:p>
        </w:tc>
        <w:tc>
          <w:tcPr>
            <w:tcW w:w="3750" w:type="pct"/>
            <w:vAlign w:val="center"/>
            <w:hideMark/>
          </w:tcPr>
          <w:p w:rsidR="00CD0C50" w:rsidRDefault="00CD0C50">
            <w:pPr>
              <w:rPr>
                <w:rFonts w:eastAsia="Times New Roman"/>
                <w:sz w:val="20"/>
                <w:szCs w:val="20"/>
              </w:rPr>
            </w:pPr>
          </w:p>
        </w:tc>
      </w:tr>
      <w:tr w:rsidR="00CD0C50">
        <w:trPr>
          <w:tblCellSpacing w:w="15" w:type="dxa"/>
        </w:trPr>
        <w:tc>
          <w:tcPr>
            <w:tcW w:w="12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STOT RE 2;H373</w:t>
            </w:r>
          </w:p>
        </w:tc>
        <w:tc>
          <w:tcPr>
            <w:tcW w:w="37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May cause damage to organs through prolonged or repeated exposure.  Specific Target Organs: (Not Available) </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CD0C50">
            <w:pPr>
              <w:rPr>
                <w:rFonts w:eastAsia="Times New Roman"/>
              </w:rPr>
            </w:pPr>
          </w:p>
        </w:tc>
      </w:tr>
    </w:tbl>
    <w:p w:rsidR="00CD0C50" w:rsidRDefault="00CD0C50">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495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2.2. Label elements</w:t>
            </w:r>
          </w:p>
        </w:tc>
      </w:tr>
      <w:tr w:rsidR="00CD0C50">
        <w:trPr>
          <w:tblCellSpacing w:w="15" w:type="dxa"/>
        </w:trPr>
        <w:tc>
          <w:tcPr>
            <w:tcW w:w="49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Using the Toxicity Data listed in section 11 and 12 the product is labeled as follows.</w:t>
            </w:r>
          </w:p>
        </w:tc>
      </w:tr>
      <w:tr w:rsidR="00CD0C50">
        <w:trPr>
          <w:tblCellSpacing w:w="15" w:type="dxa"/>
        </w:trPr>
        <w:tc>
          <w:tcPr>
            <w:tcW w:w="4950" w:type="pct"/>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250"/>
            </w:tblGrid>
            <w:tr w:rsidR="00CD0C50">
              <w:trPr>
                <w:tblCellSpacing w:w="15" w:type="dxa"/>
                <w:jc w:val="center"/>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noProof/>
                      <w:color w:val="000000"/>
                      <w:sz w:val="20"/>
                      <w:szCs w:val="20"/>
                      <w:lang w:eastAsia="en-US"/>
                    </w:rPr>
                    <w:drawing>
                      <wp:inline distT="0" distB="0" distL="0" distR="0">
                        <wp:extent cx="733425" cy="733425"/>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S08"/>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733425" cy="733425"/>
                                </a:xfrm>
                                <a:prstGeom prst="rect">
                                  <a:avLst/>
                                </a:prstGeom>
                                <a:noFill/>
                                <a:ln>
                                  <a:noFill/>
                                </a:ln>
                              </pic:spPr>
                            </pic:pic>
                          </a:graphicData>
                        </a:graphic>
                      </wp:inline>
                    </w:drawing>
                  </w:r>
                </w:p>
              </w:tc>
            </w:tr>
          </w:tbl>
          <w:p w:rsidR="00CD0C50" w:rsidRDefault="00CD0C50">
            <w:pPr>
              <w:jc w:val="center"/>
              <w:rPr>
                <w:rFonts w:eastAsia="Times New Roman"/>
              </w:rPr>
            </w:pP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5000" w:type="pct"/>
            <w:hideMark/>
          </w:tcPr>
          <w:p w:rsidR="00CD0C50" w:rsidRDefault="00B63D6C">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Warning </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CD0C50">
            <w:pPr>
              <w:rPr>
                <w:rFonts w:eastAsia="Times New Roman"/>
              </w:rPr>
            </w:pP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H361d Suspected of damaging the unborn child.</w:t>
            </w:r>
          </w:p>
        </w:tc>
      </w:tr>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lastRenderedPageBreak/>
              <w:t>H373 May cause damage to organs through prolonged or repeated exposure.</w:t>
            </w:r>
          </w:p>
        </w:tc>
      </w:tr>
    </w:tbl>
    <w:p w:rsidR="00CD0C50" w:rsidRDefault="00CD0C50">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b/>
                <w:bCs/>
                <w:color w:val="000000"/>
                <w:sz w:val="20"/>
                <w:szCs w:val="20"/>
              </w:rPr>
              <w:t xml:space="preserve">[Prevention]: </w:t>
            </w:r>
          </w:p>
        </w:tc>
      </w:tr>
      <w:tr w:rsidR="00CD0C50">
        <w:trPr>
          <w:tblCellSpacing w:w="15" w:type="dxa"/>
        </w:trPr>
        <w:tc>
          <w:tcPr>
            <w:tcW w:w="0" w:type="auto"/>
            <w:vAlign w:val="center"/>
            <w:hideMark/>
          </w:tcPr>
          <w:p w:rsidR="00CD0C50" w:rsidRDefault="00CD0C50">
            <w:pPr>
              <w:rPr>
                <w:rFonts w:ascii="Arial" w:eastAsia="Times New Roman" w:hAnsi="Arial" w:cs="Arial"/>
                <w:color w:val="000000"/>
                <w:sz w:val="20"/>
                <w:szCs w:val="20"/>
              </w:rPr>
            </w:pPr>
          </w:p>
        </w:tc>
      </w:tr>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P201 Obtain special instructions before use.</w:t>
            </w:r>
          </w:p>
        </w:tc>
      </w:tr>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P202 Do not handle until all safety precautions have been read and understood.</w:t>
            </w:r>
          </w:p>
        </w:tc>
      </w:tr>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P260 Do not breathe mist / vapors / spray.</w:t>
            </w:r>
          </w:p>
        </w:tc>
      </w:tr>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P281 Use personal protective equipment as required.</w:t>
            </w:r>
          </w:p>
        </w:tc>
      </w:tr>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b/>
                <w:bCs/>
                <w:color w:val="000000"/>
                <w:sz w:val="20"/>
                <w:szCs w:val="20"/>
              </w:rPr>
              <w:t xml:space="preserve">[Response]: </w:t>
            </w:r>
          </w:p>
        </w:tc>
      </w:tr>
      <w:tr w:rsidR="00CD0C50">
        <w:trPr>
          <w:tblCellSpacing w:w="15" w:type="dxa"/>
        </w:trPr>
        <w:tc>
          <w:tcPr>
            <w:tcW w:w="0" w:type="auto"/>
            <w:vAlign w:val="center"/>
            <w:hideMark/>
          </w:tcPr>
          <w:p w:rsidR="00CD0C50" w:rsidRDefault="00CD0C50">
            <w:pPr>
              <w:rPr>
                <w:rFonts w:ascii="Arial" w:eastAsia="Times New Roman" w:hAnsi="Arial" w:cs="Arial"/>
                <w:color w:val="000000"/>
                <w:sz w:val="20"/>
                <w:szCs w:val="20"/>
              </w:rPr>
            </w:pPr>
          </w:p>
        </w:tc>
      </w:tr>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P308+313 IF exposed or concerned: Get medical advice / attention.</w:t>
            </w:r>
          </w:p>
        </w:tc>
      </w:tr>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P314 Get Medical advice / attention if you feel unwell.</w:t>
            </w:r>
          </w:p>
        </w:tc>
      </w:tr>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b/>
                <w:bCs/>
                <w:color w:val="000000"/>
                <w:sz w:val="20"/>
                <w:szCs w:val="20"/>
              </w:rPr>
              <w:t xml:space="preserve">[Storage]: </w:t>
            </w:r>
          </w:p>
        </w:tc>
      </w:tr>
      <w:tr w:rsidR="00CD0C50">
        <w:trPr>
          <w:tblCellSpacing w:w="15" w:type="dxa"/>
        </w:trPr>
        <w:tc>
          <w:tcPr>
            <w:tcW w:w="0" w:type="auto"/>
            <w:vAlign w:val="center"/>
            <w:hideMark/>
          </w:tcPr>
          <w:p w:rsidR="00CD0C50" w:rsidRDefault="00CD0C50">
            <w:pPr>
              <w:rPr>
                <w:rFonts w:ascii="Arial" w:eastAsia="Times New Roman" w:hAnsi="Arial" w:cs="Arial"/>
                <w:color w:val="000000"/>
                <w:sz w:val="20"/>
                <w:szCs w:val="20"/>
              </w:rPr>
            </w:pPr>
          </w:p>
        </w:tc>
      </w:tr>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P405 Store locked up.</w:t>
            </w:r>
          </w:p>
        </w:tc>
      </w:tr>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b/>
                <w:bCs/>
                <w:color w:val="000000"/>
                <w:sz w:val="20"/>
                <w:szCs w:val="20"/>
              </w:rPr>
              <w:t xml:space="preserve">[Disposal]: </w:t>
            </w:r>
          </w:p>
        </w:tc>
      </w:tr>
      <w:tr w:rsidR="00CD0C50">
        <w:trPr>
          <w:tblCellSpacing w:w="15" w:type="dxa"/>
        </w:trPr>
        <w:tc>
          <w:tcPr>
            <w:tcW w:w="0" w:type="auto"/>
            <w:vAlign w:val="center"/>
            <w:hideMark/>
          </w:tcPr>
          <w:p w:rsidR="00CD0C50" w:rsidRDefault="00CD0C50">
            <w:pPr>
              <w:rPr>
                <w:rFonts w:ascii="Arial" w:eastAsia="Times New Roman" w:hAnsi="Arial" w:cs="Arial"/>
                <w:color w:val="000000"/>
                <w:sz w:val="20"/>
                <w:szCs w:val="20"/>
              </w:rPr>
            </w:pPr>
          </w:p>
        </w:tc>
      </w:tr>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P501 Dispose of contents / container in accordance with local / national regulations.</w:t>
            </w:r>
          </w:p>
        </w:tc>
      </w:tr>
    </w:tbl>
    <w:p w:rsidR="00CD0C50" w:rsidRDefault="00CD0C5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b/>
                <w:bCs/>
                <w:color w:val="000000"/>
                <w:sz w:val="28"/>
                <w:szCs w:val="28"/>
              </w:rPr>
            </w:pPr>
            <w:r>
              <w:rPr>
                <w:rFonts w:ascii="Arial" w:hAnsi="Arial" w:cs="Arial"/>
                <w:b/>
                <w:bCs/>
                <w:color w:val="000000"/>
                <w:sz w:val="28"/>
                <w:szCs w:val="28"/>
              </w:rPr>
              <w:t>3. Composition/information on ingredients</w:t>
            </w:r>
          </w:p>
        </w:tc>
      </w:tr>
    </w:tbl>
    <w:p w:rsidR="00CD0C50" w:rsidRDefault="00B63D6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This product contains the following substances that present a hazard within the meaning of the relevant State and Federal Hazardous Substances regulations.</w:t>
            </w:r>
          </w:p>
        </w:tc>
      </w:tr>
    </w:tbl>
    <w:p w:rsidR="00CD0C50" w:rsidRDefault="00CD0C50">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481"/>
        <w:gridCol w:w="1508"/>
        <w:gridCol w:w="2988"/>
        <w:gridCol w:w="1523"/>
      </w:tblGrid>
      <w:tr w:rsidR="00CD0C50">
        <w:trPr>
          <w:tblCellSpacing w:w="15" w:type="dxa"/>
        </w:trPr>
        <w:tc>
          <w:tcPr>
            <w:tcW w:w="1500" w:type="pct"/>
            <w:tcBorders>
              <w:top w:val="outset" w:sz="6" w:space="0" w:color="auto"/>
              <w:left w:val="outset" w:sz="6" w:space="0" w:color="auto"/>
              <w:bottom w:val="outset" w:sz="6" w:space="0" w:color="auto"/>
              <w:right w:val="outset" w:sz="6" w:space="0" w:color="auto"/>
            </w:tcBorders>
            <w:vAlign w:val="center"/>
            <w:hideMark/>
          </w:tcPr>
          <w:p w:rsidR="00CD0C50" w:rsidRDefault="00B63D6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Ingredient/Chemical Designations</w:t>
            </w:r>
          </w:p>
        </w:tc>
        <w:tc>
          <w:tcPr>
            <w:tcW w:w="500" w:type="pct"/>
            <w:tcBorders>
              <w:top w:val="outset" w:sz="6" w:space="0" w:color="auto"/>
              <w:left w:val="outset" w:sz="6" w:space="0" w:color="auto"/>
              <w:bottom w:val="outset" w:sz="6" w:space="0" w:color="auto"/>
              <w:right w:val="outset" w:sz="6" w:space="0" w:color="auto"/>
            </w:tcBorders>
            <w:vAlign w:val="center"/>
            <w:hideMark/>
          </w:tcPr>
          <w:p w:rsidR="00CD0C50" w:rsidRDefault="00B63D6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Weight %</w:t>
            </w:r>
          </w:p>
        </w:tc>
        <w:tc>
          <w:tcPr>
            <w:tcW w:w="1000" w:type="pct"/>
            <w:tcBorders>
              <w:top w:val="outset" w:sz="6" w:space="0" w:color="auto"/>
              <w:left w:val="outset" w:sz="6" w:space="0" w:color="auto"/>
              <w:bottom w:val="outset" w:sz="6" w:space="0" w:color="auto"/>
              <w:right w:val="outset" w:sz="6" w:space="0" w:color="auto"/>
            </w:tcBorders>
            <w:vAlign w:val="center"/>
            <w:hideMark/>
          </w:tcPr>
          <w:p w:rsidR="00CD0C50" w:rsidRDefault="00B63D6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GHS Classification</w:t>
            </w:r>
          </w:p>
        </w:tc>
        <w:tc>
          <w:tcPr>
            <w:tcW w:w="500" w:type="pct"/>
            <w:tcBorders>
              <w:top w:val="outset" w:sz="6" w:space="0" w:color="auto"/>
              <w:left w:val="outset" w:sz="6" w:space="0" w:color="auto"/>
              <w:bottom w:val="outset" w:sz="6" w:space="0" w:color="auto"/>
              <w:right w:val="outset" w:sz="6" w:space="0" w:color="auto"/>
            </w:tcBorders>
            <w:vAlign w:val="center"/>
            <w:hideMark/>
          </w:tcPr>
          <w:p w:rsidR="00CD0C50" w:rsidRDefault="00B63D6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Notes</w:t>
            </w:r>
          </w:p>
        </w:tc>
      </w:tr>
      <w:tr w:rsidR="00CD0C50">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Calcium peroxide (Ca(O2)) </w:t>
            </w:r>
            <w:r>
              <w:rPr>
                <w:rFonts w:ascii="Arial" w:eastAsia="Times New Roman" w:hAnsi="Arial" w:cs="Arial"/>
                <w:b/>
                <w:bCs/>
                <w:color w:val="000000"/>
                <w:sz w:val="16"/>
                <w:szCs w:val="16"/>
              </w:rPr>
              <w:br/>
              <w:t xml:space="preserve">  CAS Number:     0001305-79-9 </w:t>
            </w:r>
          </w:p>
        </w:tc>
        <w:tc>
          <w:tcPr>
            <w:tcW w:w="50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b/>
                <w:bCs/>
                <w:color w:val="000000"/>
                <w:sz w:val="16"/>
                <w:szCs w:val="16"/>
              </w:rPr>
            </w:pPr>
            <w:r>
              <w:rPr>
                <w:rFonts w:ascii="Arial" w:eastAsia="Times New Roman" w:hAnsi="Arial" w:cs="Arial"/>
                <w:b/>
                <w:bCs/>
                <w:color w:val="000000"/>
                <w:sz w:val="16"/>
                <w:szCs w:val="16"/>
              </w:rPr>
              <w:t>Ox. Sol. 2</w:t>
            </w:r>
            <w:proofErr w:type="gramStart"/>
            <w:r>
              <w:rPr>
                <w:rFonts w:ascii="Arial" w:eastAsia="Times New Roman" w:hAnsi="Arial" w:cs="Arial"/>
                <w:b/>
                <w:bCs/>
                <w:color w:val="000000"/>
                <w:sz w:val="16"/>
                <w:szCs w:val="16"/>
              </w:rPr>
              <w:t>;H272</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Skin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2</w:t>
            </w:r>
            <w:proofErr w:type="gramStart"/>
            <w:r>
              <w:rPr>
                <w:rFonts w:ascii="Arial" w:eastAsia="Times New Roman" w:hAnsi="Arial" w:cs="Arial"/>
                <w:b/>
                <w:bCs/>
                <w:color w:val="000000"/>
                <w:sz w:val="16"/>
                <w:szCs w:val="16"/>
              </w:rPr>
              <w:t>;H315</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Eye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xml:space="preserve">. 2;H319 </w:t>
            </w:r>
            <w:r>
              <w:rPr>
                <w:rFonts w:ascii="Arial" w:eastAsia="Times New Roman" w:hAnsi="Arial" w:cs="Arial"/>
                <w:b/>
                <w:bCs/>
                <w:color w:val="000000"/>
                <w:sz w:val="16"/>
                <w:szCs w:val="16"/>
              </w:rPr>
              <w:br/>
              <w:t>STOT SE 3;H335 </w:t>
            </w:r>
          </w:p>
        </w:tc>
        <w:tc>
          <w:tcPr>
            <w:tcW w:w="50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r w:rsidR="00CD0C50">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Barium hydroxide (Ba(OH)2) </w:t>
            </w:r>
            <w:r>
              <w:rPr>
                <w:rFonts w:ascii="Arial" w:eastAsia="Times New Roman" w:hAnsi="Arial" w:cs="Arial"/>
                <w:b/>
                <w:bCs/>
                <w:color w:val="000000"/>
                <w:sz w:val="16"/>
                <w:szCs w:val="16"/>
              </w:rPr>
              <w:br/>
              <w:t xml:space="preserve">  CAS Number:     0017194-00-2 </w:t>
            </w:r>
          </w:p>
        </w:tc>
        <w:tc>
          <w:tcPr>
            <w:tcW w:w="50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Acute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4</w:t>
            </w:r>
            <w:proofErr w:type="gramStart"/>
            <w:r>
              <w:rPr>
                <w:rFonts w:ascii="Arial" w:eastAsia="Times New Roman" w:hAnsi="Arial" w:cs="Arial"/>
                <w:b/>
                <w:bCs/>
                <w:color w:val="000000"/>
                <w:sz w:val="16"/>
                <w:szCs w:val="16"/>
              </w:rPr>
              <w:t>;H302</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Skin Corr. 1A;H314 </w:t>
            </w:r>
            <w:r>
              <w:rPr>
                <w:rFonts w:ascii="Arial" w:eastAsia="Times New Roman" w:hAnsi="Arial" w:cs="Arial"/>
                <w:b/>
                <w:bCs/>
                <w:color w:val="000000"/>
                <w:sz w:val="16"/>
                <w:szCs w:val="16"/>
              </w:rPr>
              <w:br/>
              <w:t>Eye Dam. 1;H318 </w:t>
            </w:r>
          </w:p>
        </w:tc>
        <w:tc>
          <w:tcPr>
            <w:tcW w:w="50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b/>
                <w:bCs/>
                <w:color w:val="000000"/>
                <w:sz w:val="16"/>
                <w:szCs w:val="16"/>
              </w:rPr>
            </w:pPr>
            <w:r>
              <w:rPr>
                <w:rFonts w:ascii="Arial" w:eastAsia="Times New Roman" w:hAnsi="Arial" w:cs="Arial"/>
                <w:b/>
                <w:bCs/>
                <w:color w:val="000000"/>
                <w:sz w:val="16"/>
                <w:szCs w:val="16"/>
              </w:rPr>
              <w:t>[1] </w:t>
            </w:r>
          </w:p>
        </w:tc>
      </w:tr>
      <w:tr w:rsidR="00CD0C50">
        <w:trPr>
          <w:tblCellSpacing w:w="15" w:type="dxa"/>
        </w:trPr>
        <w:tc>
          <w:tcPr>
            <w:tcW w:w="150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Toluene </w:t>
            </w:r>
            <w:r>
              <w:rPr>
                <w:rFonts w:ascii="Arial" w:eastAsia="Times New Roman" w:hAnsi="Arial" w:cs="Arial"/>
                <w:b/>
                <w:bCs/>
                <w:color w:val="000000"/>
                <w:sz w:val="16"/>
                <w:szCs w:val="16"/>
              </w:rPr>
              <w:br/>
              <w:t xml:space="preserve">  CAS Number:     0000108-88-3 </w:t>
            </w:r>
          </w:p>
        </w:tc>
        <w:tc>
          <w:tcPr>
            <w:tcW w:w="50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b/>
                <w:bCs/>
                <w:color w:val="000000"/>
                <w:sz w:val="16"/>
                <w:szCs w:val="16"/>
              </w:rPr>
            </w:pPr>
            <w:r>
              <w:rPr>
                <w:rFonts w:ascii="Arial" w:eastAsia="Times New Roman" w:hAnsi="Arial" w:cs="Arial"/>
                <w:b/>
                <w:bCs/>
                <w:color w:val="000000"/>
                <w:sz w:val="16"/>
                <w:szCs w:val="16"/>
              </w:rPr>
              <w:t>1.0 - 10</w:t>
            </w:r>
          </w:p>
        </w:tc>
        <w:tc>
          <w:tcPr>
            <w:tcW w:w="100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b/>
                <w:bCs/>
                <w:color w:val="000000"/>
                <w:sz w:val="16"/>
                <w:szCs w:val="16"/>
              </w:rPr>
            </w:pPr>
            <w:r>
              <w:rPr>
                <w:rFonts w:ascii="Arial" w:eastAsia="Times New Roman" w:hAnsi="Arial" w:cs="Arial"/>
                <w:b/>
                <w:bCs/>
                <w:color w:val="000000"/>
                <w:sz w:val="16"/>
                <w:szCs w:val="16"/>
              </w:rPr>
              <w:t>Flam. Liq. 2</w:t>
            </w:r>
            <w:proofErr w:type="gramStart"/>
            <w:r>
              <w:rPr>
                <w:rFonts w:ascii="Arial" w:eastAsia="Times New Roman" w:hAnsi="Arial" w:cs="Arial"/>
                <w:b/>
                <w:bCs/>
                <w:color w:val="000000"/>
                <w:sz w:val="16"/>
                <w:szCs w:val="16"/>
              </w:rPr>
              <w:t>;H225</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r>
            <w:proofErr w:type="spellStart"/>
            <w:r>
              <w:rPr>
                <w:rFonts w:ascii="Arial" w:eastAsia="Times New Roman" w:hAnsi="Arial" w:cs="Arial"/>
                <w:b/>
                <w:bCs/>
                <w:color w:val="000000"/>
                <w:sz w:val="16"/>
                <w:szCs w:val="16"/>
              </w:rPr>
              <w:t>Repr</w:t>
            </w:r>
            <w:proofErr w:type="spellEnd"/>
            <w:r>
              <w:rPr>
                <w:rFonts w:ascii="Arial" w:eastAsia="Times New Roman" w:hAnsi="Arial" w:cs="Arial"/>
                <w:b/>
                <w:bCs/>
                <w:color w:val="000000"/>
                <w:sz w:val="16"/>
                <w:szCs w:val="16"/>
              </w:rPr>
              <w:t>. 2</w:t>
            </w:r>
            <w:proofErr w:type="gramStart"/>
            <w:r>
              <w:rPr>
                <w:rFonts w:ascii="Arial" w:eastAsia="Times New Roman" w:hAnsi="Arial" w:cs="Arial"/>
                <w:b/>
                <w:bCs/>
                <w:color w:val="000000"/>
                <w:sz w:val="16"/>
                <w:szCs w:val="16"/>
              </w:rPr>
              <w:t>;H361d</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Asp. </w:t>
            </w:r>
            <w:proofErr w:type="spellStart"/>
            <w:r>
              <w:rPr>
                <w:rFonts w:ascii="Arial" w:eastAsia="Times New Roman" w:hAnsi="Arial" w:cs="Arial"/>
                <w:b/>
                <w:bCs/>
                <w:color w:val="000000"/>
                <w:sz w:val="16"/>
                <w:szCs w:val="16"/>
              </w:rPr>
              <w:t>Tox</w:t>
            </w:r>
            <w:proofErr w:type="spellEnd"/>
            <w:r>
              <w:rPr>
                <w:rFonts w:ascii="Arial" w:eastAsia="Times New Roman" w:hAnsi="Arial" w:cs="Arial"/>
                <w:b/>
                <w:bCs/>
                <w:color w:val="000000"/>
                <w:sz w:val="16"/>
                <w:szCs w:val="16"/>
              </w:rPr>
              <w:t>. 1</w:t>
            </w:r>
            <w:proofErr w:type="gramStart"/>
            <w:r>
              <w:rPr>
                <w:rFonts w:ascii="Arial" w:eastAsia="Times New Roman" w:hAnsi="Arial" w:cs="Arial"/>
                <w:b/>
                <w:bCs/>
                <w:color w:val="000000"/>
                <w:sz w:val="16"/>
                <w:szCs w:val="16"/>
              </w:rPr>
              <w:t>;H304</w:t>
            </w:r>
            <w:proofErr w:type="gram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 xml:space="preserve">STOT RE 2;H373 </w:t>
            </w:r>
            <w:r>
              <w:rPr>
                <w:rFonts w:ascii="Arial" w:eastAsia="Times New Roman" w:hAnsi="Arial" w:cs="Arial"/>
                <w:b/>
                <w:bCs/>
                <w:color w:val="000000"/>
                <w:sz w:val="16"/>
                <w:szCs w:val="16"/>
              </w:rPr>
              <w:br/>
              <w:t xml:space="preserve">Skin </w:t>
            </w:r>
            <w:proofErr w:type="spellStart"/>
            <w:r>
              <w:rPr>
                <w:rFonts w:ascii="Arial" w:eastAsia="Times New Roman" w:hAnsi="Arial" w:cs="Arial"/>
                <w:b/>
                <w:bCs/>
                <w:color w:val="000000"/>
                <w:sz w:val="16"/>
                <w:szCs w:val="16"/>
              </w:rPr>
              <w:t>Irrit</w:t>
            </w:r>
            <w:proofErr w:type="spellEnd"/>
            <w:r>
              <w:rPr>
                <w:rFonts w:ascii="Arial" w:eastAsia="Times New Roman" w:hAnsi="Arial" w:cs="Arial"/>
                <w:b/>
                <w:bCs/>
                <w:color w:val="000000"/>
                <w:sz w:val="16"/>
                <w:szCs w:val="16"/>
              </w:rPr>
              <w:t xml:space="preserve">. 2;H315 </w:t>
            </w:r>
            <w:r>
              <w:rPr>
                <w:rFonts w:ascii="Arial" w:eastAsia="Times New Roman" w:hAnsi="Arial" w:cs="Arial"/>
                <w:b/>
                <w:bCs/>
                <w:color w:val="000000"/>
                <w:sz w:val="16"/>
                <w:szCs w:val="16"/>
              </w:rPr>
              <w:br/>
              <w:t>STOT SE 3;H336 </w:t>
            </w:r>
          </w:p>
        </w:tc>
        <w:tc>
          <w:tcPr>
            <w:tcW w:w="50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b/>
                <w:bCs/>
                <w:color w:val="000000"/>
                <w:sz w:val="16"/>
                <w:szCs w:val="16"/>
              </w:rPr>
            </w:pPr>
            <w:r>
              <w:rPr>
                <w:rFonts w:ascii="Arial" w:eastAsia="Times New Roman" w:hAnsi="Arial" w:cs="Arial"/>
                <w:b/>
                <w:bCs/>
                <w:color w:val="000000"/>
                <w:sz w:val="16"/>
                <w:szCs w:val="16"/>
              </w:rPr>
              <w:t>[1][2] </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vAlign w:val="center"/>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In accordance with paragraph (</w:t>
            </w:r>
            <w:proofErr w:type="spellStart"/>
            <w:r>
              <w:rPr>
                <w:rFonts w:ascii="Arial" w:eastAsia="Times New Roman" w:hAnsi="Arial" w:cs="Arial"/>
                <w:color w:val="000000"/>
                <w:sz w:val="16"/>
                <w:szCs w:val="16"/>
              </w:rPr>
              <w:t>i</w:t>
            </w:r>
            <w:proofErr w:type="spellEnd"/>
            <w:r>
              <w:rPr>
                <w:rFonts w:ascii="Arial" w:eastAsia="Times New Roman" w:hAnsi="Arial" w:cs="Arial"/>
                <w:color w:val="000000"/>
                <w:sz w:val="16"/>
                <w:szCs w:val="16"/>
              </w:rPr>
              <w:t>) of §1910.1200, the specific chemical identity and/or exact percentage (concentration) of composition has been withheld as a trade secret.</w:t>
            </w:r>
            <w:r>
              <w:rPr>
                <w:rFonts w:ascii="Arial" w:eastAsia="Times New Roman" w:hAnsi="Arial" w:cs="Arial"/>
                <w:color w:val="000000"/>
                <w:sz w:val="16"/>
                <w:szCs w:val="16"/>
              </w:rPr>
              <w:br/>
              <w:t>[1] Substance classified with a health or environmental hazard.</w:t>
            </w:r>
            <w:r>
              <w:rPr>
                <w:rFonts w:ascii="Arial" w:eastAsia="Times New Roman" w:hAnsi="Arial" w:cs="Arial"/>
                <w:color w:val="000000"/>
                <w:sz w:val="16"/>
                <w:szCs w:val="16"/>
              </w:rPr>
              <w:br/>
              <w:t>[2] Substance with a workplace exposure limit.</w:t>
            </w:r>
            <w:r>
              <w:rPr>
                <w:rFonts w:ascii="Arial" w:eastAsia="Times New Roman" w:hAnsi="Arial" w:cs="Arial"/>
                <w:color w:val="000000"/>
                <w:sz w:val="16"/>
                <w:szCs w:val="16"/>
              </w:rPr>
              <w:br/>
              <w:t xml:space="preserve">[3] PBT-substance or </w:t>
            </w:r>
            <w:proofErr w:type="spellStart"/>
            <w:r>
              <w:rPr>
                <w:rFonts w:ascii="Arial" w:eastAsia="Times New Roman" w:hAnsi="Arial" w:cs="Arial"/>
                <w:color w:val="000000"/>
                <w:sz w:val="16"/>
                <w:szCs w:val="16"/>
              </w:rPr>
              <w:t>vPvB</w:t>
            </w:r>
            <w:proofErr w:type="spellEnd"/>
            <w:r>
              <w:rPr>
                <w:rFonts w:ascii="Arial" w:eastAsia="Times New Roman" w:hAnsi="Arial" w:cs="Arial"/>
                <w:color w:val="000000"/>
                <w:sz w:val="16"/>
                <w:szCs w:val="16"/>
              </w:rPr>
              <w:t>-substance.</w:t>
            </w:r>
            <w:r>
              <w:rPr>
                <w:rFonts w:ascii="Arial" w:eastAsia="Times New Roman" w:hAnsi="Arial" w:cs="Arial"/>
                <w:color w:val="000000"/>
                <w:sz w:val="16"/>
                <w:szCs w:val="16"/>
              </w:rPr>
              <w:br/>
              <w:t>*The full texts of the phrases are shown in Section 16.</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vAlign w:val="center"/>
            <w:hideMark/>
          </w:tcPr>
          <w:p w:rsidR="00CD0C50" w:rsidRDefault="00CD0C50">
            <w:pPr>
              <w:rPr>
                <w:rFonts w:eastAsia="Times New Roman"/>
              </w:rPr>
            </w:pPr>
          </w:p>
        </w:tc>
      </w:tr>
      <w:tr w:rsidR="00CD0C50">
        <w:trPr>
          <w:tblCellSpacing w:w="15" w:type="dxa"/>
        </w:trPr>
        <w:tc>
          <w:tcPr>
            <w:tcW w:w="0" w:type="auto"/>
            <w:vAlign w:val="center"/>
            <w:hideMark/>
          </w:tcPr>
          <w:p w:rsidR="00CD0C50" w:rsidRDefault="00CD0C50">
            <w:pPr>
              <w:rPr>
                <w:rFonts w:eastAsia="Times New Roman"/>
                <w:sz w:val="20"/>
                <w:szCs w:val="20"/>
              </w:rPr>
            </w:pPr>
          </w:p>
        </w:tc>
      </w:tr>
    </w:tbl>
    <w:p w:rsidR="00CD0C50" w:rsidRDefault="00CD0C5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b/>
                <w:bCs/>
                <w:color w:val="000000"/>
                <w:sz w:val="28"/>
                <w:szCs w:val="28"/>
              </w:rPr>
            </w:pPr>
            <w:r>
              <w:rPr>
                <w:rFonts w:ascii="Arial" w:hAnsi="Arial" w:cs="Arial"/>
                <w:b/>
                <w:bCs/>
                <w:color w:val="000000"/>
                <w:sz w:val="28"/>
                <w:szCs w:val="28"/>
              </w:rPr>
              <w:t>4. First aid measures</w:t>
            </w:r>
          </w:p>
        </w:tc>
      </w:tr>
    </w:tbl>
    <w:p w:rsidR="00CD0C50" w:rsidRDefault="00B63D6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495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4.1. Description of first aid measures</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D0C50">
        <w:trPr>
          <w:tblCellSpacing w:w="15" w:type="dxa"/>
        </w:trPr>
        <w:tc>
          <w:tcPr>
            <w:tcW w:w="110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General</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In all cases of doubt, or when symptoms persist, seek medical attention.</w:t>
            </w:r>
            <w:r>
              <w:rPr>
                <w:rFonts w:ascii="Arial" w:eastAsia="Times New Roman" w:hAnsi="Arial" w:cs="Arial"/>
                <w:color w:val="000000"/>
                <w:sz w:val="20"/>
                <w:szCs w:val="20"/>
              </w:rPr>
              <w:br/>
              <w:t xml:space="preserve">Never give anything by mouth to an unconscious person.   </w:t>
            </w:r>
          </w:p>
        </w:tc>
      </w:tr>
      <w:tr w:rsidR="00CD0C50">
        <w:trPr>
          <w:tblCellSpacing w:w="15" w:type="dxa"/>
        </w:trPr>
        <w:tc>
          <w:tcPr>
            <w:tcW w:w="110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Inhalation</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Remove to fresh air, keep patient warm and at rest. If breathing is irregular or stopped, give artificial respiration. If unconscious place in the recovery position and obtain immediate medical attention. Give nothing by mouth.   </w:t>
            </w:r>
          </w:p>
        </w:tc>
      </w:tr>
      <w:tr w:rsidR="00CD0C50">
        <w:trPr>
          <w:tblCellSpacing w:w="15" w:type="dxa"/>
        </w:trPr>
        <w:tc>
          <w:tcPr>
            <w:tcW w:w="110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Irrigate copiously with clean water for at least 15 minutes, holding the eyelids apart and seek medical attention.   </w:t>
            </w:r>
          </w:p>
        </w:tc>
      </w:tr>
      <w:tr w:rsidR="00CD0C50">
        <w:trPr>
          <w:tblCellSpacing w:w="15" w:type="dxa"/>
        </w:trPr>
        <w:tc>
          <w:tcPr>
            <w:tcW w:w="110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Remove contaminated clothing. Wash skin thoroughly with soap and water or use a recognized skin cleanser.   </w:t>
            </w:r>
          </w:p>
        </w:tc>
      </w:tr>
      <w:tr w:rsidR="00CD0C50">
        <w:trPr>
          <w:tblCellSpacing w:w="15" w:type="dxa"/>
        </w:trPr>
        <w:tc>
          <w:tcPr>
            <w:tcW w:w="110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Ingestion</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If swallowed obtain immediate medical attention. Keep at rest. Do NOT induce vomiting.   </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495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4.2. Most important symptoms and effects, both acute and delayed</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14"/>
        <w:gridCol w:w="8186"/>
      </w:tblGrid>
      <w:tr w:rsidR="00CD0C50" w:rsidTr="00952C33">
        <w:trPr>
          <w:tblCellSpacing w:w="15" w:type="dxa"/>
        </w:trPr>
        <w:tc>
          <w:tcPr>
            <w:tcW w:w="109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Overview</w:t>
            </w:r>
          </w:p>
        </w:tc>
        <w:tc>
          <w:tcPr>
            <w:tcW w:w="0" w:type="auto"/>
            <w:hideMark/>
          </w:tcPr>
          <w:p w:rsidR="00CD0C50" w:rsidRDefault="00952C33">
            <w:pPr>
              <w:rPr>
                <w:rFonts w:ascii="Arial" w:eastAsia="Times New Roman" w:hAnsi="Arial" w:cs="Arial"/>
                <w:color w:val="000000"/>
                <w:sz w:val="20"/>
                <w:szCs w:val="20"/>
              </w:rPr>
            </w:pPr>
            <w:r w:rsidRPr="0049382C">
              <w:rPr>
                <w:rFonts w:ascii="Arial" w:eastAsia="Times New Roman" w:hAnsi="Arial" w:cs="Arial"/>
                <w:color w:val="000000"/>
                <w:sz w:val="20"/>
                <w:szCs w:val="20"/>
              </w:rPr>
              <w:t xml:space="preserve">Eyes: May cause irritation. </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Skin: May cause irritation.</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Ingestion: Not known.</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Inhalation: Inhalation is not an expect hazard unless misted or heated to high temperatures</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Chronic Health Hazards: No information found.</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Medical Conditions Generally Aggravated by Exposure: NA</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Exposure to solvent vapor concentrations from the component solvents in excess of the stated occupational exposure limits may result in adverse health effects such as mucous membrane and respiratory system irritation and adverse effects on the kidneys, liver and central nervous system. Symptoms include headache, nausea, dizziness, fatigue, muscular weakness, drowsiness and in extreme cases, loss of consciousness.</w:t>
            </w:r>
            <w:r w:rsidRPr="0049382C">
              <w:rPr>
                <w:rFonts w:ascii="Arial" w:eastAsia="Times New Roman" w:hAnsi="Arial" w:cs="Arial"/>
                <w:color w:val="000000"/>
                <w:sz w:val="20"/>
                <w:szCs w:val="20"/>
              </w:rPr>
              <w:br/>
            </w:r>
            <w:r w:rsidRPr="0049382C">
              <w:rPr>
                <w:rFonts w:ascii="Arial" w:eastAsia="Times New Roman" w:hAnsi="Arial" w:cs="Arial"/>
                <w:color w:val="000000"/>
                <w:sz w:val="20"/>
                <w:szCs w:val="20"/>
              </w:rPr>
              <w:br/>
              <w:t>Repeated or prolonged contact with the preparation may cause removal of natural fat from the skin resulting in dryness, irritation and possible non-allergic contact dermatitis. Solvents may also be absorbed through the skin. Splashes of liquid in the eyes may cause irritation and soreness with possible reversible damage. See section 2 for further details.  </w:t>
            </w:r>
          </w:p>
        </w:tc>
      </w:tr>
      <w:tr w:rsidR="00CD0C50" w:rsidTr="00952C33">
        <w:trPr>
          <w:tblCellSpacing w:w="15" w:type="dxa"/>
        </w:trPr>
        <w:tc>
          <w:tcPr>
            <w:tcW w:w="1090" w:type="pct"/>
            <w:hideMark/>
          </w:tcPr>
          <w:p w:rsidR="00CD0C50" w:rsidRDefault="00CD0C50">
            <w:pPr>
              <w:rPr>
                <w:rFonts w:ascii="Arial" w:eastAsia="Times New Roman" w:hAnsi="Arial" w:cs="Arial"/>
                <w:color w:val="000000"/>
                <w:sz w:val="20"/>
                <w:szCs w:val="20"/>
              </w:rPr>
            </w:pPr>
          </w:p>
        </w:tc>
        <w:tc>
          <w:tcPr>
            <w:tcW w:w="0" w:type="auto"/>
            <w:vAlign w:val="center"/>
            <w:hideMark/>
          </w:tcPr>
          <w:p w:rsidR="00CD0C50" w:rsidRDefault="00CD0C50">
            <w:pPr>
              <w:rPr>
                <w:rFonts w:eastAsia="Times New Roman"/>
                <w:sz w:val="20"/>
                <w:szCs w:val="20"/>
              </w:rPr>
            </w:pPr>
          </w:p>
        </w:tc>
      </w:tr>
      <w:tr w:rsidR="00CD0C50" w:rsidTr="00952C33">
        <w:trPr>
          <w:tblCellSpacing w:w="15" w:type="dxa"/>
        </w:trPr>
        <w:tc>
          <w:tcPr>
            <w:tcW w:w="1090" w:type="pct"/>
            <w:hideMark/>
          </w:tcPr>
          <w:p w:rsidR="00CD0C50" w:rsidRDefault="00CD0C50">
            <w:pPr>
              <w:rPr>
                <w:rFonts w:ascii="Arial" w:eastAsia="Times New Roman" w:hAnsi="Arial" w:cs="Arial"/>
                <w:color w:val="000000"/>
                <w:sz w:val="20"/>
                <w:szCs w:val="20"/>
              </w:rPr>
            </w:pPr>
          </w:p>
        </w:tc>
        <w:tc>
          <w:tcPr>
            <w:tcW w:w="0" w:type="auto"/>
            <w:vAlign w:val="center"/>
            <w:hideMark/>
          </w:tcPr>
          <w:p w:rsidR="00CD0C50" w:rsidRDefault="00CD0C50">
            <w:pPr>
              <w:rPr>
                <w:rFonts w:eastAsia="Times New Roman"/>
                <w:sz w:val="20"/>
                <w:szCs w:val="20"/>
              </w:rPr>
            </w:pPr>
          </w:p>
        </w:tc>
      </w:tr>
      <w:tr w:rsidR="00CD0C50" w:rsidTr="00952C33">
        <w:trPr>
          <w:tblCellSpacing w:w="15" w:type="dxa"/>
        </w:trPr>
        <w:tc>
          <w:tcPr>
            <w:tcW w:w="1090" w:type="pct"/>
            <w:hideMark/>
          </w:tcPr>
          <w:p w:rsidR="00CD0C50" w:rsidRDefault="00CD0C50">
            <w:pPr>
              <w:rPr>
                <w:rFonts w:eastAsia="Times New Roman"/>
                <w:sz w:val="20"/>
                <w:szCs w:val="20"/>
              </w:rPr>
            </w:pPr>
          </w:p>
        </w:tc>
        <w:tc>
          <w:tcPr>
            <w:tcW w:w="0" w:type="auto"/>
            <w:vAlign w:val="center"/>
            <w:hideMark/>
          </w:tcPr>
          <w:p w:rsidR="00CD0C50" w:rsidRDefault="00CD0C50">
            <w:pPr>
              <w:rPr>
                <w:rFonts w:eastAsia="Times New Roman"/>
                <w:sz w:val="20"/>
                <w:szCs w:val="20"/>
              </w:rPr>
            </w:pPr>
          </w:p>
        </w:tc>
      </w:tr>
    </w:tbl>
    <w:p w:rsidR="00CD0C50" w:rsidRDefault="00CD0C5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b/>
                <w:bCs/>
                <w:color w:val="000000"/>
                <w:sz w:val="28"/>
                <w:szCs w:val="28"/>
              </w:rPr>
            </w:pPr>
            <w:r>
              <w:rPr>
                <w:rFonts w:ascii="Arial" w:hAnsi="Arial" w:cs="Arial"/>
                <w:b/>
                <w:bCs/>
                <w:color w:val="000000"/>
                <w:sz w:val="28"/>
                <w:szCs w:val="28"/>
              </w:rPr>
              <w:t>5. Fire-fighting measures</w:t>
            </w:r>
          </w:p>
        </w:tc>
      </w:tr>
    </w:tbl>
    <w:p w:rsidR="00CD0C50" w:rsidRDefault="00B63D6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5.1. Extinguishing media</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Recommended extinguishing media; alcohol resistant foam, CO</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powder.</w:t>
            </w:r>
            <w:r>
              <w:rPr>
                <w:rFonts w:ascii="Arial" w:eastAsia="Times New Roman" w:hAnsi="Arial" w:cs="Arial"/>
                <w:color w:val="000000"/>
                <w:sz w:val="20"/>
                <w:szCs w:val="20"/>
              </w:rPr>
              <w:br/>
            </w:r>
            <w:r>
              <w:rPr>
                <w:rFonts w:ascii="Arial" w:eastAsia="Times New Roman" w:hAnsi="Arial" w:cs="Arial"/>
                <w:b/>
                <w:bCs/>
                <w:color w:val="000000"/>
                <w:sz w:val="20"/>
                <w:szCs w:val="20"/>
              </w:rPr>
              <w:t>Do not use: water</w:t>
            </w:r>
            <w:r>
              <w:rPr>
                <w:rFonts w:ascii="Arial" w:eastAsia="Times New Roman" w:hAnsi="Arial" w:cs="Arial"/>
                <w:color w:val="000000"/>
                <w:sz w:val="20"/>
                <w:szCs w:val="20"/>
              </w:rPr>
              <w:t>.</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5.2. Special hazards arising from the substance or mixture</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Hazardous decomposition: No hazardous decomposition data available.</w:t>
            </w:r>
          </w:p>
        </w:tc>
      </w:tr>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Do not breathe mist / vapors / spray.</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5.3. Advice for fire-fighters</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952C33"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In the event of a fire, wear full protective clothing and NIOSH-approved self-contained breathing apparatus with full </w:t>
            </w:r>
            <w:proofErr w:type="spellStart"/>
            <w:r>
              <w:rPr>
                <w:rFonts w:ascii="Arial" w:eastAsia="Times New Roman" w:hAnsi="Arial" w:cs="Arial"/>
                <w:color w:val="000000"/>
                <w:sz w:val="20"/>
                <w:szCs w:val="20"/>
              </w:rPr>
              <w:t>facepiece</w:t>
            </w:r>
            <w:proofErr w:type="spellEnd"/>
            <w:r>
              <w:rPr>
                <w:rFonts w:ascii="Arial" w:eastAsia="Times New Roman" w:hAnsi="Arial" w:cs="Arial"/>
                <w:color w:val="000000"/>
                <w:sz w:val="20"/>
                <w:szCs w:val="20"/>
              </w:rPr>
              <w:t xml:space="preserve"> operated in the pressure demand or other positive pressure mode. </w:t>
            </w:r>
            <w:r>
              <w:rPr>
                <w:rFonts w:ascii="Arial" w:eastAsia="Times New Roman" w:hAnsi="Arial" w:cs="Arial"/>
                <w:color w:val="000000"/>
                <w:sz w:val="20"/>
                <w:szCs w:val="20"/>
              </w:rPr>
              <w:br/>
            </w:r>
          </w:p>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br/>
              <w:t>Not considered to be an explosion hazard.</w:t>
            </w:r>
          </w:p>
        </w:tc>
      </w:tr>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lastRenderedPageBreak/>
              <w:t>None</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D0C50">
        <w:trPr>
          <w:tblCellSpacing w:w="15" w:type="dxa"/>
        </w:trPr>
        <w:tc>
          <w:tcPr>
            <w:tcW w:w="110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ERG Guide No.</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bl>
    <w:p w:rsidR="00CD0C50" w:rsidRDefault="00CD0C5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b/>
                <w:bCs/>
                <w:color w:val="000000"/>
                <w:sz w:val="28"/>
                <w:szCs w:val="28"/>
              </w:rPr>
            </w:pPr>
            <w:r>
              <w:rPr>
                <w:rFonts w:ascii="Arial" w:hAnsi="Arial" w:cs="Arial"/>
                <w:b/>
                <w:bCs/>
                <w:color w:val="000000"/>
                <w:sz w:val="28"/>
                <w:szCs w:val="28"/>
              </w:rPr>
              <w:t>6. Accidental release measures</w:t>
            </w:r>
          </w:p>
        </w:tc>
      </w:tr>
    </w:tbl>
    <w:p w:rsidR="00CD0C50" w:rsidRDefault="00B63D6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6.1. Personal precautions, protective equipment and emergency procedures</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Put on appropriate personal protective equipment (see section 8).</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6.2. Environmental precautions</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Do not allow spills to enter drains or waterways.</w:t>
            </w:r>
          </w:p>
        </w:tc>
      </w:tr>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Use good personal hygiene practices. Wash hands before eating, drinking, smoking or using toilet. Promptly remove soiled clothing and wash thoroughly before reuse.</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6.3. Methods and material for containment and cleaning up</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Confine spill and place in a closed container. Wipe up excess with dry rags and place in a closed container. </w:t>
            </w:r>
          </w:p>
        </w:tc>
      </w:tr>
    </w:tbl>
    <w:p w:rsidR="00CD0C50" w:rsidRDefault="00CD0C5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b/>
                <w:bCs/>
                <w:color w:val="000000"/>
                <w:sz w:val="28"/>
                <w:szCs w:val="28"/>
              </w:rPr>
            </w:pPr>
            <w:r>
              <w:rPr>
                <w:rFonts w:ascii="Arial" w:hAnsi="Arial" w:cs="Arial"/>
                <w:b/>
                <w:bCs/>
                <w:color w:val="000000"/>
                <w:sz w:val="28"/>
                <w:szCs w:val="28"/>
              </w:rPr>
              <w:t>7. Handling and storage</w:t>
            </w:r>
          </w:p>
        </w:tc>
      </w:tr>
    </w:tbl>
    <w:p w:rsidR="00CD0C50" w:rsidRDefault="00B63D6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7.1. Precautions for safe handling</w:t>
            </w:r>
          </w:p>
        </w:tc>
      </w:tr>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Avoid contact with skin and eyes by using personal protective equipment.</w:t>
            </w:r>
          </w:p>
        </w:tc>
      </w:tr>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7.2. Conditions for safe storage, including any incompatibilities</w:t>
            </w:r>
          </w:p>
        </w:tc>
      </w:tr>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Handle containers carefully to prevent damage and spillage.</w:t>
            </w:r>
          </w:p>
        </w:tc>
      </w:tr>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Incompatible materials: Sulfur oxides (Contact with water could product sulfuric acid; this is only a concern for large amounts of material engulfed in flames).</w:t>
            </w:r>
          </w:p>
        </w:tc>
      </w:tr>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Product is moisture sensitive (store in a dark, DRY place).</w:t>
            </w:r>
          </w:p>
        </w:tc>
      </w:tr>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[Storage]: </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7.3. Specific end use(s)</w:t>
            </w:r>
          </w:p>
        </w:tc>
      </w:tr>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CD0C50" w:rsidRDefault="00CD0C5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b/>
                <w:bCs/>
                <w:color w:val="000000"/>
                <w:sz w:val="28"/>
                <w:szCs w:val="28"/>
              </w:rPr>
            </w:pPr>
            <w:r>
              <w:rPr>
                <w:rFonts w:ascii="Arial" w:hAnsi="Arial" w:cs="Arial"/>
                <w:b/>
                <w:bCs/>
                <w:color w:val="000000"/>
                <w:sz w:val="28"/>
                <w:szCs w:val="28"/>
              </w:rPr>
              <w:t>8. Exposure controls and personal protection</w:t>
            </w:r>
          </w:p>
        </w:tc>
      </w:tr>
    </w:tbl>
    <w:p w:rsidR="00CD0C50" w:rsidRDefault="00B63D6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CD0C50">
            <w:pPr>
              <w:rPr>
                <w:rFonts w:eastAsia="Times New Roman"/>
              </w:rPr>
            </w:pP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8.1. Control parameters </w:t>
            </w:r>
          </w:p>
        </w:tc>
      </w:tr>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Exposure </w:t>
            </w:r>
          </w:p>
        </w:tc>
      </w:tr>
    </w:tbl>
    <w:p w:rsidR="00CD0C50" w:rsidRDefault="00CD0C50">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7"/>
        <w:gridCol w:w="3135"/>
        <w:gridCol w:w="1065"/>
        <w:gridCol w:w="5013"/>
      </w:tblGrid>
      <w:tr w:rsidR="00CD0C50">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CD0C50" w:rsidRDefault="00B63D6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500" w:type="pct"/>
            <w:tcBorders>
              <w:top w:val="outset" w:sz="6" w:space="0" w:color="auto"/>
              <w:left w:val="outset" w:sz="6" w:space="0" w:color="auto"/>
              <w:bottom w:val="outset" w:sz="6" w:space="0" w:color="auto"/>
              <w:right w:val="outset" w:sz="6" w:space="0" w:color="auto"/>
            </w:tcBorders>
            <w:hideMark/>
          </w:tcPr>
          <w:p w:rsidR="00CD0C50" w:rsidRDefault="00B63D6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500" w:type="pct"/>
            <w:tcBorders>
              <w:top w:val="outset" w:sz="6" w:space="0" w:color="auto"/>
              <w:left w:val="outset" w:sz="6" w:space="0" w:color="auto"/>
              <w:bottom w:val="outset" w:sz="6" w:space="0" w:color="auto"/>
              <w:right w:val="outset" w:sz="6" w:space="0" w:color="auto"/>
            </w:tcBorders>
            <w:noWrap/>
            <w:hideMark/>
          </w:tcPr>
          <w:p w:rsidR="00CD0C50" w:rsidRDefault="00B63D6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2650" w:type="pct"/>
            <w:tcBorders>
              <w:top w:val="outset" w:sz="6" w:space="0" w:color="auto"/>
              <w:left w:val="outset" w:sz="6" w:space="0" w:color="auto"/>
              <w:bottom w:val="outset" w:sz="6" w:space="0" w:color="auto"/>
              <w:right w:val="outset" w:sz="6" w:space="0" w:color="auto"/>
            </w:tcBorders>
            <w:noWrap/>
            <w:hideMark/>
          </w:tcPr>
          <w:p w:rsidR="00CD0C50" w:rsidRDefault="00B63D6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CD0C5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0000108-88-3</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Toluene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TWA 200 ppm C 300 ppm 500 ppm (10-minute maximum peak)STEL 150 ppm  </w:t>
            </w:r>
          </w:p>
        </w:tc>
      </w:tr>
      <w:tr w:rsidR="00CD0C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TWA: 20 </w:t>
            </w:r>
            <w:proofErr w:type="spellStart"/>
            <w:r>
              <w:rPr>
                <w:rFonts w:ascii="Arial" w:eastAsia="Times New Roman" w:hAnsi="Arial" w:cs="Arial"/>
                <w:color w:val="000000"/>
                <w:sz w:val="16"/>
                <w:szCs w:val="16"/>
              </w:rPr>
              <w:t>ppmR</w:t>
            </w:r>
            <w:proofErr w:type="spellEnd"/>
            <w:r>
              <w:rPr>
                <w:rFonts w:ascii="Arial" w:eastAsia="Times New Roman" w:hAnsi="Arial" w:cs="Arial"/>
                <w:color w:val="000000"/>
                <w:sz w:val="16"/>
                <w:szCs w:val="16"/>
              </w:rPr>
              <w:t xml:space="preserve">  </w:t>
            </w:r>
          </w:p>
        </w:tc>
      </w:tr>
      <w:tr w:rsidR="00CD0C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TWA 100 ppm (375 mg/m3) ST 150 ppm (560 mg/m3)  </w:t>
            </w:r>
          </w:p>
        </w:tc>
      </w:tr>
      <w:tr w:rsidR="00CD0C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CD0C5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0001305-79-9</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Calcium peroxide (Ca(O2))</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CD0C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CD0C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CD0C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CD0C5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0017194-00-2</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Barium hydroxide (Ba(OH)2)</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CD0C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ACGIH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CD0C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NIOSH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r w:rsidR="00CD0C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Supplier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No Established Limit   </w:t>
            </w:r>
          </w:p>
        </w:tc>
      </w:tr>
    </w:tbl>
    <w:p w:rsidR="00CD0C50" w:rsidRDefault="00CD0C50">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vAlign w:val="center"/>
            <w:hideMark/>
          </w:tcPr>
          <w:p w:rsidR="00CD0C50" w:rsidRDefault="00CD0C50">
            <w:pPr>
              <w:rPr>
                <w:rFonts w:eastAsia="Times New Roman"/>
              </w:rPr>
            </w:pPr>
          </w:p>
        </w:tc>
      </w:tr>
      <w:tr w:rsidR="00CD0C50">
        <w:trPr>
          <w:tblCellSpacing w:w="15" w:type="dxa"/>
        </w:trPr>
        <w:tc>
          <w:tcPr>
            <w:tcW w:w="0" w:type="auto"/>
            <w:vAlign w:val="center"/>
            <w:hideMark/>
          </w:tcPr>
          <w:p w:rsidR="00CD0C50" w:rsidRDefault="00CD0C50">
            <w:pPr>
              <w:rPr>
                <w:rFonts w:eastAsia="Times New Roman"/>
                <w:sz w:val="20"/>
                <w:szCs w:val="20"/>
              </w:rPr>
            </w:pP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Carcinogen Data </w:t>
            </w:r>
          </w:p>
        </w:tc>
      </w:tr>
    </w:tbl>
    <w:p w:rsidR="00CD0C50" w:rsidRDefault="00CD0C50">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86"/>
        <w:gridCol w:w="2618"/>
        <w:gridCol w:w="651"/>
        <w:gridCol w:w="5945"/>
      </w:tblGrid>
      <w:tr w:rsidR="00CD0C50">
        <w:trPr>
          <w:tblCellSpacing w:w="15" w:type="dxa"/>
        </w:trPr>
        <w:tc>
          <w:tcPr>
            <w:tcW w:w="600" w:type="pct"/>
            <w:tcBorders>
              <w:top w:val="outset" w:sz="6" w:space="0" w:color="auto"/>
              <w:left w:val="outset" w:sz="6" w:space="0" w:color="auto"/>
              <w:bottom w:val="outset" w:sz="6" w:space="0" w:color="auto"/>
              <w:right w:val="outset" w:sz="6" w:space="0" w:color="auto"/>
            </w:tcBorders>
            <w:noWrap/>
            <w:hideMark/>
          </w:tcPr>
          <w:p w:rsidR="00CD0C50" w:rsidRDefault="00B63D6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CAS No.</w:t>
            </w:r>
          </w:p>
        </w:tc>
        <w:tc>
          <w:tcPr>
            <w:tcW w:w="1250" w:type="pct"/>
            <w:tcBorders>
              <w:top w:val="outset" w:sz="6" w:space="0" w:color="auto"/>
              <w:left w:val="outset" w:sz="6" w:space="0" w:color="auto"/>
              <w:bottom w:val="outset" w:sz="6" w:space="0" w:color="auto"/>
              <w:right w:val="outset" w:sz="6" w:space="0" w:color="auto"/>
            </w:tcBorders>
            <w:hideMark/>
          </w:tcPr>
          <w:p w:rsidR="00CD0C50" w:rsidRDefault="00B63D6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300" w:type="pct"/>
            <w:tcBorders>
              <w:top w:val="outset" w:sz="6" w:space="0" w:color="auto"/>
              <w:left w:val="outset" w:sz="6" w:space="0" w:color="auto"/>
              <w:bottom w:val="outset" w:sz="6" w:space="0" w:color="auto"/>
              <w:right w:val="outset" w:sz="6" w:space="0" w:color="auto"/>
            </w:tcBorders>
            <w:noWrap/>
            <w:hideMark/>
          </w:tcPr>
          <w:p w:rsidR="00CD0C50" w:rsidRDefault="00B63D6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Source</w:t>
            </w:r>
          </w:p>
        </w:tc>
        <w:tc>
          <w:tcPr>
            <w:tcW w:w="3100" w:type="pct"/>
            <w:tcBorders>
              <w:top w:val="outset" w:sz="6" w:space="0" w:color="auto"/>
              <w:left w:val="outset" w:sz="6" w:space="0" w:color="auto"/>
              <w:bottom w:val="outset" w:sz="6" w:space="0" w:color="auto"/>
              <w:right w:val="outset" w:sz="6" w:space="0" w:color="auto"/>
            </w:tcBorders>
            <w:noWrap/>
            <w:hideMark/>
          </w:tcPr>
          <w:p w:rsidR="00CD0C50" w:rsidRDefault="00B63D6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Value</w:t>
            </w:r>
          </w:p>
        </w:tc>
      </w:tr>
      <w:tr w:rsidR="00CD0C5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0000108-88-3</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Toluene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CD0C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CD0C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Yes;  Group 4: No;  </w:t>
            </w:r>
          </w:p>
        </w:tc>
      </w:tr>
      <w:tr w:rsidR="00CD0C5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0001305-79-9</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Calcium peroxide (Ca(O2))</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CD0C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CD0C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r w:rsidR="00CD0C50">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0017194-00-2</w:t>
            </w:r>
          </w:p>
        </w:tc>
        <w:tc>
          <w:tcPr>
            <w:tcW w:w="0" w:type="auto"/>
            <w:vMerge w:val="restar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Barium hydroxide (Ba(OH)2)</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OSHA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Select Carcinogen: No  </w:t>
            </w:r>
          </w:p>
        </w:tc>
      </w:tr>
      <w:tr w:rsidR="00CD0C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NTP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Known: No;  Suspected: No  </w:t>
            </w:r>
          </w:p>
        </w:tc>
      </w:tr>
      <w:tr w:rsidR="00CD0C50">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D0C50" w:rsidRDefault="00CD0C50">
            <w:pPr>
              <w:rPr>
                <w:rFonts w:ascii="Arial" w:eastAsia="Times New Roman" w:hAnsi="Arial" w:cs="Arial"/>
                <w:color w:val="000000"/>
                <w:sz w:val="16"/>
                <w:szCs w:val="16"/>
              </w:rPr>
            </w:pP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IARC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 xml:space="preserve">Group 1: No;  Group 2a: No;  Group 2b: No;  Group 3: No;  Group 4: No;  </w:t>
            </w:r>
          </w:p>
        </w:tc>
      </w:tr>
    </w:tbl>
    <w:p w:rsidR="00CD0C50" w:rsidRDefault="00B63D6C">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D0C50">
        <w:trPr>
          <w:tblCellSpacing w:w="15" w:type="dxa"/>
        </w:trPr>
        <w:tc>
          <w:tcPr>
            <w:tcW w:w="110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8.2. Exposure controls</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  </w:t>
            </w:r>
          </w:p>
        </w:tc>
      </w:tr>
      <w:tr w:rsidR="00CD0C50">
        <w:trPr>
          <w:tblCellSpacing w:w="15" w:type="dxa"/>
        </w:trPr>
        <w:tc>
          <w:tcPr>
            <w:tcW w:w="110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Respiratory</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Not generally required.   </w:t>
            </w:r>
          </w:p>
        </w:tc>
      </w:tr>
      <w:tr w:rsidR="00CD0C50">
        <w:trPr>
          <w:tblCellSpacing w:w="15" w:type="dxa"/>
        </w:trPr>
        <w:tc>
          <w:tcPr>
            <w:tcW w:w="110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Eyes</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Goggles should be worn.   </w:t>
            </w:r>
          </w:p>
        </w:tc>
      </w:tr>
      <w:tr w:rsidR="00CD0C50">
        <w:trPr>
          <w:tblCellSpacing w:w="15" w:type="dxa"/>
        </w:trPr>
        <w:tc>
          <w:tcPr>
            <w:tcW w:w="110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Skin</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PVC or rubber gloves.   </w:t>
            </w:r>
          </w:p>
        </w:tc>
      </w:tr>
      <w:tr w:rsidR="00CD0C50">
        <w:trPr>
          <w:tblCellSpacing w:w="15" w:type="dxa"/>
        </w:trPr>
        <w:tc>
          <w:tcPr>
            <w:tcW w:w="110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Engineering Controls</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Provide adequate ventilation. Where reasonably practicable this should be achieved by the use of local exhaust ventilation and good general extraction. If these are not sufficient to maintain concentrations of particulates and any vapor below occupational exposure limits suitable respiratory protection must be worn. </w:t>
            </w:r>
            <w:r>
              <w:rPr>
                <w:rFonts w:ascii="Arial" w:eastAsia="Times New Roman" w:hAnsi="Arial" w:cs="Arial"/>
                <w:color w:val="000000"/>
                <w:sz w:val="20"/>
                <w:szCs w:val="20"/>
              </w:rPr>
              <w:br/>
              <w:t xml:space="preserve">  </w:t>
            </w:r>
          </w:p>
        </w:tc>
      </w:tr>
      <w:tr w:rsidR="00CD0C50">
        <w:trPr>
          <w:tblCellSpacing w:w="15" w:type="dxa"/>
        </w:trPr>
        <w:tc>
          <w:tcPr>
            <w:tcW w:w="110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Other Work Practices</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Use good personal hygiene practices. Wash hands before eating, drinking, smoking or using toilet. Promptly remove soiled clothing and wash thoroughly before reuse.   </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See section 2 for further details. - [Prevention]: </w:t>
            </w:r>
          </w:p>
        </w:tc>
      </w:tr>
    </w:tbl>
    <w:p w:rsidR="00CD0C50" w:rsidRDefault="00CD0C5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b/>
                <w:bCs/>
                <w:color w:val="000000"/>
                <w:sz w:val="28"/>
                <w:szCs w:val="28"/>
              </w:rPr>
            </w:pPr>
            <w:r>
              <w:rPr>
                <w:rFonts w:ascii="Arial" w:hAnsi="Arial" w:cs="Arial"/>
                <w:b/>
                <w:bCs/>
                <w:color w:val="000000"/>
                <w:sz w:val="28"/>
                <w:szCs w:val="28"/>
              </w:rPr>
              <w:t>9. Physical and chemical properties</w:t>
            </w:r>
          </w:p>
        </w:tc>
      </w:tr>
    </w:tbl>
    <w:p w:rsidR="00CD0C50" w:rsidRDefault="00B63D6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5192"/>
        <w:gridCol w:w="5177"/>
        <w:gridCol w:w="131"/>
      </w:tblGrid>
      <w:tr w:rsidR="00CD0C50">
        <w:trPr>
          <w:tblCellSpacing w:w="15" w:type="dxa"/>
        </w:trPr>
        <w:tc>
          <w:tcPr>
            <w:tcW w:w="1000" w:type="pct"/>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Appearance</w:t>
            </w:r>
          </w:p>
        </w:tc>
        <w:tc>
          <w:tcPr>
            <w:tcW w:w="3850" w:type="pct"/>
            <w:vAlign w:val="center"/>
            <w:hideMark/>
          </w:tcPr>
          <w:p w:rsidR="00CD0C50" w:rsidRDefault="00A10FCB" w:rsidP="00A10FCB">
            <w:pPr>
              <w:rPr>
                <w:rFonts w:ascii="Arial" w:eastAsia="Times New Roman" w:hAnsi="Arial" w:cs="Arial"/>
                <w:color w:val="000000"/>
                <w:sz w:val="20"/>
                <w:szCs w:val="20"/>
              </w:rPr>
            </w:pPr>
            <w:r>
              <w:rPr>
                <w:rFonts w:ascii="Arial" w:eastAsia="Times New Roman" w:hAnsi="Arial" w:cs="Arial"/>
                <w:color w:val="000000"/>
                <w:sz w:val="20"/>
                <w:szCs w:val="20"/>
              </w:rPr>
              <w:t>Thick Reddish B</w:t>
            </w:r>
            <w:r w:rsidR="00B63D6C">
              <w:rPr>
                <w:rFonts w:ascii="Arial" w:eastAsia="Times New Roman" w:hAnsi="Arial" w:cs="Arial"/>
                <w:color w:val="000000"/>
                <w:sz w:val="20"/>
                <w:szCs w:val="20"/>
              </w:rPr>
              <w:t xml:space="preserve">rown </w:t>
            </w:r>
            <w:r>
              <w:rPr>
                <w:rFonts w:ascii="Arial" w:eastAsia="Times New Roman" w:hAnsi="Arial" w:cs="Arial"/>
                <w:color w:val="000000"/>
                <w:sz w:val="20"/>
                <w:szCs w:val="20"/>
              </w:rPr>
              <w:t>Paste</w:t>
            </w:r>
            <w:r w:rsidR="00B63D6C">
              <w:rPr>
                <w:rFonts w:ascii="Arial" w:eastAsia="Times New Roman" w:hAnsi="Arial" w:cs="Arial"/>
                <w:color w:val="000000"/>
                <w:sz w:val="20"/>
                <w:szCs w:val="20"/>
              </w:rPr>
              <w:t xml:space="preserve"> </w:t>
            </w:r>
          </w:p>
        </w:tc>
        <w:tc>
          <w:tcPr>
            <w:tcW w:w="1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D0C50">
        <w:trPr>
          <w:tblCellSpacing w:w="15" w:type="dxa"/>
        </w:trPr>
        <w:tc>
          <w:tcPr>
            <w:tcW w:w="1000" w:type="pct"/>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Odor</w:t>
            </w:r>
          </w:p>
        </w:tc>
        <w:tc>
          <w:tcPr>
            <w:tcW w:w="38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Polysulfide</w:t>
            </w:r>
          </w:p>
        </w:tc>
        <w:tc>
          <w:tcPr>
            <w:tcW w:w="1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D0C50">
        <w:trPr>
          <w:tblCellSpacing w:w="15" w:type="dxa"/>
        </w:trPr>
        <w:tc>
          <w:tcPr>
            <w:tcW w:w="1000" w:type="pct"/>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Odor threshold</w:t>
            </w:r>
          </w:p>
        </w:tc>
        <w:tc>
          <w:tcPr>
            <w:tcW w:w="38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D0C50">
        <w:trPr>
          <w:tblCellSpacing w:w="15" w:type="dxa"/>
        </w:trPr>
        <w:tc>
          <w:tcPr>
            <w:tcW w:w="1000" w:type="pct"/>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pH   </w:t>
            </w:r>
          </w:p>
        </w:tc>
        <w:tc>
          <w:tcPr>
            <w:tcW w:w="38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D0C50">
        <w:trPr>
          <w:tblCellSpacing w:w="15" w:type="dxa"/>
        </w:trPr>
        <w:tc>
          <w:tcPr>
            <w:tcW w:w="1000" w:type="pct"/>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Melting point / freezing point </w:t>
            </w:r>
          </w:p>
        </w:tc>
        <w:tc>
          <w:tcPr>
            <w:tcW w:w="38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D0C50">
        <w:trPr>
          <w:tblCellSpacing w:w="15" w:type="dxa"/>
        </w:trPr>
        <w:tc>
          <w:tcPr>
            <w:tcW w:w="1000" w:type="pct"/>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Initial boiling point and boiling range </w:t>
            </w:r>
          </w:p>
        </w:tc>
        <w:tc>
          <w:tcPr>
            <w:tcW w:w="38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D0C50">
        <w:trPr>
          <w:tblCellSpacing w:w="15" w:type="dxa"/>
        </w:trPr>
        <w:tc>
          <w:tcPr>
            <w:tcW w:w="2500" w:type="pct"/>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Flash Point</w:t>
            </w:r>
          </w:p>
        </w:tc>
        <w:tc>
          <w:tcPr>
            <w:tcW w:w="23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D0C50">
        <w:trPr>
          <w:tblCellSpacing w:w="15" w:type="dxa"/>
        </w:trPr>
        <w:tc>
          <w:tcPr>
            <w:tcW w:w="2500" w:type="pct"/>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Evaporation rate (Ether = 1)</w:t>
            </w:r>
          </w:p>
        </w:tc>
        <w:tc>
          <w:tcPr>
            <w:tcW w:w="23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D0C50">
        <w:trPr>
          <w:tblCellSpacing w:w="15" w:type="dxa"/>
        </w:trPr>
        <w:tc>
          <w:tcPr>
            <w:tcW w:w="2500" w:type="pct"/>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Flammability (solid, gas)</w:t>
            </w:r>
          </w:p>
        </w:tc>
        <w:tc>
          <w:tcPr>
            <w:tcW w:w="23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Not Applicable </w:t>
            </w:r>
          </w:p>
        </w:tc>
        <w:tc>
          <w:tcPr>
            <w:tcW w:w="1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D0C50">
        <w:trPr>
          <w:tblCellSpacing w:w="15" w:type="dxa"/>
        </w:trPr>
        <w:tc>
          <w:tcPr>
            <w:tcW w:w="2500" w:type="pct"/>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Upper/lower flammability or explosive limits</w:t>
            </w:r>
          </w:p>
        </w:tc>
        <w:tc>
          <w:tcPr>
            <w:tcW w:w="23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b/>
                <w:bCs/>
                <w:color w:val="000000"/>
                <w:sz w:val="20"/>
                <w:szCs w:val="20"/>
              </w:rPr>
              <w:t>Lower Explosive Limit:</w:t>
            </w:r>
            <w:r>
              <w:rPr>
                <w:rFonts w:ascii="Arial" w:eastAsia="Times New Roman" w:hAnsi="Arial" w:cs="Arial"/>
                <w:color w:val="000000"/>
                <w:sz w:val="20"/>
                <w:szCs w:val="20"/>
              </w:rPr>
              <w:t xml:space="preserve"> Not Measured </w:t>
            </w:r>
          </w:p>
        </w:tc>
        <w:tc>
          <w:tcPr>
            <w:tcW w:w="1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D0C50">
        <w:trPr>
          <w:tblCellSpacing w:w="15" w:type="dxa"/>
        </w:trPr>
        <w:tc>
          <w:tcPr>
            <w:tcW w:w="2500" w:type="pct"/>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23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b/>
                <w:bCs/>
                <w:color w:val="000000"/>
                <w:sz w:val="20"/>
                <w:szCs w:val="20"/>
              </w:rPr>
              <w:t>Upper Explosive Limit:</w:t>
            </w:r>
            <w:r>
              <w:rPr>
                <w:rFonts w:ascii="Arial" w:eastAsia="Times New Roman" w:hAnsi="Arial" w:cs="Arial"/>
                <w:color w:val="000000"/>
                <w:sz w:val="20"/>
                <w:szCs w:val="20"/>
              </w:rPr>
              <w:t xml:space="preserve"> Not Measured  </w:t>
            </w:r>
          </w:p>
        </w:tc>
        <w:tc>
          <w:tcPr>
            <w:tcW w:w="1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D0C50">
        <w:trPr>
          <w:tblCellSpacing w:w="15" w:type="dxa"/>
        </w:trPr>
        <w:tc>
          <w:tcPr>
            <w:tcW w:w="2500" w:type="pct"/>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Vapor pressure (Pa)</w:t>
            </w:r>
          </w:p>
        </w:tc>
        <w:tc>
          <w:tcPr>
            <w:tcW w:w="23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D0C50">
        <w:trPr>
          <w:tblCellSpacing w:w="15" w:type="dxa"/>
        </w:trPr>
        <w:tc>
          <w:tcPr>
            <w:tcW w:w="2500" w:type="pct"/>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Vapor Density</w:t>
            </w:r>
          </w:p>
        </w:tc>
        <w:tc>
          <w:tcPr>
            <w:tcW w:w="23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D0C50">
        <w:trPr>
          <w:tblCellSpacing w:w="15" w:type="dxa"/>
        </w:trPr>
        <w:tc>
          <w:tcPr>
            <w:tcW w:w="2500" w:type="pct"/>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Specific Gravity</w:t>
            </w:r>
          </w:p>
        </w:tc>
        <w:tc>
          <w:tcPr>
            <w:tcW w:w="23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D0C50">
        <w:trPr>
          <w:tblCellSpacing w:w="15" w:type="dxa"/>
        </w:trPr>
        <w:tc>
          <w:tcPr>
            <w:tcW w:w="2500" w:type="pct"/>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Solubility in Water</w:t>
            </w:r>
          </w:p>
        </w:tc>
        <w:tc>
          <w:tcPr>
            <w:tcW w:w="23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Insoluble </w:t>
            </w:r>
          </w:p>
        </w:tc>
        <w:tc>
          <w:tcPr>
            <w:tcW w:w="1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D0C50">
        <w:trPr>
          <w:tblCellSpacing w:w="15" w:type="dxa"/>
        </w:trPr>
        <w:tc>
          <w:tcPr>
            <w:tcW w:w="2500" w:type="pct"/>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Partition coefficient n-octanol/water (Log </w:t>
            </w:r>
            <w:proofErr w:type="spellStart"/>
            <w:r>
              <w:rPr>
                <w:rFonts w:ascii="Arial" w:eastAsia="Times New Roman" w:hAnsi="Arial" w:cs="Arial"/>
                <w:b/>
                <w:bCs/>
                <w:color w:val="000000"/>
                <w:sz w:val="20"/>
                <w:szCs w:val="20"/>
              </w:rPr>
              <w:t>Kow</w:t>
            </w:r>
            <w:proofErr w:type="spellEnd"/>
            <w:r>
              <w:rPr>
                <w:rFonts w:ascii="Arial" w:eastAsia="Times New Roman" w:hAnsi="Arial" w:cs="Arial"/>
                <w:b/>
                <w:bCs/>
                <w:color w:val="000000"/>
                <w:sz w:val="20"/>
                <w:szCs w:val="20"/>
              </w:rPr>
              <w:t>)</w:t>
            </w:r>
          </w:p>
        </w:tc>
        <w:tc>
          <w:tcPr>
            <w:tcW w:w="23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D0C50">
        <w:trPr>
          <w:tblCellSpacing w:w="15" w:type="dxa"/>
        </w:trPr>
        <w:tc>
          <w:tcPr>
            <w:tcW w:w="2500" w:type="pct"/>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Auto-ignition temperature </w:t>
            </w:r>
          </w:p>
        </w:tc>
        <w:tc>
          <w:tcPr>
            <w:tcW w:w="23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D0C50">
        <w:trPr>
          <w:tblCellSpacing w:w="15" w:type="dxa"/>
        </w:trPr>
        <w:tc>
          <w:tcPr>
            <w:tcW w:w="2500" w:type="pct"/>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Decomposition temperature</w:t>
            </w:r>
          </w:p>
        </w:tc>
        <w:tc>
          <w:tcPr>
            <w:tcW w:w="23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D0C50">
        <w:trPr>
          <w:tblCellSpacing w:w="15" w:type="dxa"/>
        </w:trPr>
        <w:tc>
          <w:tcPr>
            <w:tcW w:w="2500" w:type="pct"/>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Viscosity (</w:t>
            </w:r>
            <w:proofErr w:type="spellStart"/>
            <w:r>
              <w:rPr>
                <w:rFonts w:ascii="Arial" w:eastAsia="Times New Roman" w:hAnsi="Arial" w:cs="Arial"/>
                <w:b/>
                <w:bCs/>
                <w:color w:val="000000"/>
                <w:sz w:val="20"/>
                <w:szCs w:val="20"/>
              </w:rPr>
              <w:t>cSt</w:t>
            </w:r>
            <w:proofErr w:type="spellEnd"/>
            <w:r>
              <w:rPr>
                <w:rFonts w:ascii="Arial" w:eastAsia="Times New Roman" w:hAnsi="Arial" w:cs="Arial"/>
                <w:b/>
                <w:bCs/>
                <w:color w:val="000000"/>
                <w:sz w:val="20"/>
                <w:szCs w:val="20"/>
              </w:rPr>
              <w:t>)</w:t>
            </w:r>
          </w:p>
        </w:tc>
        <w:tc>
          <w:tcPr>
            <w:tcW w:w="23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Not Measured  </w:t>
            </w:r>
          </w:p>
        </w:tc>
        <w:tc>
          <w:tcPr>
            <w:tcW w:w="1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D0C50">
        <w:trPr>
          <w:tblCellSpacing w:w="15" w:type="dxa"/>
        </w:trPr>
        <w:tc>
          <w:tcPr>
            <w:tcW w:w="2500" w:type="pct"/>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 Volatile</w:t>
            </w:r>
          </w:p>
        </w:tc>
        <w:tc>
          <w:tcPr>
            <w:tcW w:w="23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2% </w:t>
            </w:r>
          </w:p>
        </w:tc>
        <w:tc>
          <w:tcPr>
            <w:tcW w:w="150" w:type="pct"/>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9.2. Other information</w:t>
            </w:r>
          </w:p>
        </w:tc>
      </w:tr>
      <w:tr w:rsidR="00CD0C50">
        <w:trPr>
          <w:tblCellSpacing w:w="15" w:type="dxa"/>
        </w:trPr>
        <w:tc>
          <w:tcPr>
            <w:tcW w:w="0" w:type="auto"/>
            <w:vAlign w:val="center"/>
            <w:hideMark/>
          </w:tcPr>
          <w:p w:rsidR="00CD0C50" w:rsidRDefault="00D05C03">
            <w:pPr>
              <w:rPr>
                <w:rFonts w:ascii="Arial" w:eastAsia="Times New Roman" w:hAnsi="Arial" w:cs="Arial"/>
                <w:color w:val="000000"/>
                <w:sz w:val="20"/>
                <w:szCs w:val="20"/>
              </w:rPr>
            </w:pPr>
            <w:r>
              <w:rPr>
                <w:rFonts w:ascii="Arial" w:eastAsia="Times New Roman" w:hAnsi="Arial" w:cs="Arial"/>
                <w:color w:val="000000"/>
                <w:sz w:val="20"/>
                <w:szCs w:val="20"/>
              </w:rPr>
              <w:t>California Product Category:  Chemically Curing Sealant &lt;3.0% VOC</w:t>
            </w:r>
            <w:r w:rsidR="00287DF5">
              <w:rPr>
                <w:rFonts w:ascii="Arial" w:eastAsia="Times New Roman" w:hAnsi="Arial" w:cs="Arial"/>
                <w:color w:val="000000"/>
                <w:sz w:val="20"/>
                <w:szCs w:val="20"/>
              </w:rPr>
              <w:t xml:space="preserve"> </w:t>
            </w:r>
            <w:r w:rsidR="00287DF5">
              <w:rPr>
                <w:rFonts w:ascii="Arial" w:eastAsia="Times New Roman" w:hAnsi="Arial" w:cs="Arial"/>
                <w:color w:val="000000"/>
                <w:sz w:val="20"/>
                <w:szCs w:val="20"/>
              </w:rPr>
              <w:t>W/W</w:t>
            </w:r>
          </w:p>
        </w:tc>
      </w:tr>
    </w:tbl>
    <w:p w:rsidR="00CD0C50" w:rsidRDefault="00CD0C5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b/>
                <w:bCs/>
                <w:color w:val="000000"/>
                <w:sz w:val="28"/>
                <w:szCs w:val="28"/>
              </w:rPr>
            </w:pPr>
            <w:r>
              <w:rPr>
                <w:rFonts w:ascii="Arial" w:hAnsi="Arial" w:cs="Arial"/>
                <w:b/>
                <w:bCs/>
                <w:color w:val="000000"/>
                <w:sz w:val="28"/>
                <w:szCs w:val="28"/>
              </w:rPr>
              <w:t>10. Stability and reactivity</w:t>
            </w:r>
          </w:p>
        </w:tc>
      </w:tr>
    </w:tbl>
    <w:p w:rsidR="00CD0C50" w:rsidRDefault="00B63D6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10.1. Reactivity</w:t>
            </w:r>
          </w:p>
        </w:tc>
      </w:tr>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Hazardous Polymerization will not occur.</w:t>
            </w:r>
          </w:p>
        </w:tc>
      </w:tr>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10.2. Chemical stability</w:t>
            </w:r>
          </w:p>
        </w:tc>
      </w:tr>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Stable under normal circumstances.</w:t>
            </w:r>
          </w:p>
        </w:tc>
      </w:tr>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10.3. Possibility of hazardous reactions</w:t>
            </w:r>
          </w:p>
        </w:tc>
      </w:tr>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10.4. Conditions to avoid</w:t>
            </w:r>
          </w:p>
        </w:tc>
      </w:tr>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10.5. Incompatible materials</w:t>
            </w:r>
          </w:p>
        </w:tc>
      </w:tr>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Sulfur oxides (Contact with water could product sulfuric acid; this is only a concern for large amounts of material engulfed in flames).</w:t>
            </w:r>
          </w:p>
        </w:tc>
      </w:tr>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10.6. Hazardous decomposition products</w:t>
            </w:r>
          </w:p>
        </w:tc>
      </w:tr>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No hazardous decomposition data available. </w:t>
            </w:r>
          </w:p>
        </w:tc>
      </w:tr>
    </w:tbl>
    <w:p w:rsidR="00CD0C50" w:rsidRDefault="00CD0C5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b/>
                <w:bCs/>
                <w:color w:val="000000"/>
                <w:sz w:val="28"/>
                <w:szCs w:val="28"/>
              </w:rPr>
            </w:pPr>
            <w:r>
              <w:rPr>
                <w:rFonts w:ascii="Arial" w:hAnsi="Arial" w:cs="Arial"/>
                <w:b/>
                <w:bCs/>
                <w:color w:val="000000"/>
                <w:sz w:val="28"/>
                <w:szCs w:val="28"/>
              </w:rPr>
              <w:t>11. Toxicological information</w:t>
            </w:r>
          </w:p>
        </w:tc>
      </w:tr>
    </w:tbl>
    <w:p w:rsidR="00CD0C50" w:rsidRDefault="00B63D6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Acute toxicity</w:t>
            </w:r>
          </w:p>
        </w:tc>
      </w:tr>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r>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Exposure to solvent vapor concentrations from the component solvents in excess of the stated occupational exposure limits may result in adverse health effects such as mucous membrane and respiratory system irritation and adverse effects on the kidneys, liver and central nervous system. Symptoms include headache, nausea, dizziness, fatigue, muscular weakness, drowsiness and in extreme cases, loss of consciousness.</w:t>
            </w:r>
            <w:r>
              <w:rPr>
                <w:rFonts w:ascii="Arial" w:eastAsia="Times New Roman" w:hAnsi="Arial" w:cs="Arial"/>
                <w:color w:val="000000"/>
                <w:sz w:val="20"/>
                <w:szCs w:val="20"/>
              </w:rPr>
              <w:br/>
            </w:r>
            <w:r>
              <w:rPr>
                <w:rFonts w:ascii="Arial" w:eastAsia="Times New Roman" w:hAnsi="Arial" w:cs="Arial"/>
                <w:color w:val="000000"/>
                <w:sz w:val="20"/>
                <w:szCs w:val="20"/>
              </w:rPr>
              <w:br/>
              <w:t xml:space="preserve">Repeated or prolonged contact with the preparation may cause removal of natural fat from the skin resulting in </w:t>
            </w:r>
            <w:r>
              <w:rPr>
                <w:rFonts w:ascii="Arial" w:eastAsia="Times New Roman" w:hAnsi="Arial" w:cs="Arial"/>
                <w:color w:val="000000"/>
                <w:sz w:val="20"/>
                <w:szCs w:val="20"/>
              </w:rPr>
              <w:lastRenderedPageBreak/>
              <w:t>dryness, irritation and possible non-allergic contact dermatitis. Solvents may also be absorbed through the skin. Splashes of liquid in the eyes may cause irritation and soreness with possible reversible damage.</w:t>
            </w:r>
          </w:p>
        </w:tc>
      </w:tr>
      <w:tr w:rsidR="00CD0C50">
        <w:trPr>
          <w:tblCellSpacing w:w="15" w:type="dxa"/>
        </w:trPr>
        <w:tc>
          <w:tcPr>
            <w:tcW w:w="0" w:type="auto"/>
            <w:vAlign w:val="center"/>
            <w:hideMark/>
          </w:tcPr>
          <w:p w:rsidR="00CD0C50" w:rsidRDefault="00CD0C50">
            <w:pPr>
              <w:rPr>
                <w:rFonts w:ascii="Arial" w:eastAsia="Times New Roman" w:hAnsi="Arial" w:cs="Arial"/>
                <w:color w:val="000000"/>
                <w:sz w:val="20"/>
                <w:szCs w:val="20"/>
              </w:rPr>
            </w:pPr>
          </w:p>
        </w:tc>
      </w:tr>
    </w:tbl>
    <w:p w:rsidR="00CD0C50" w:rsidRDefault="00CD0C50">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55"/>
        <w:gridCol w:w="1259"/>
        <w:gridCol w:w="1260"/>
        <w:gridCol w:w="1260"/>
        <w:gridCol w:w="1291"/>
        <w:gridCol w:w="1275"/>
      </w:tblGrid>
      <w:tr w:rsidR="00CD0C50">
        <w:trPr>
          <w:tblCellSpacing w:w="15" w:type="dxa"/>
        </w:trPr>
        <w:tc>
          <w:tcPr>
            <w:tcW w:w="2000" w:type="pct"/>
            <w:tcBorders>
              <w:top w:val="outset" w:sz="6" w:space="0" w:color="auto"/>
              <w:left w:val="outset" w:sz="6" w:space="0" w:color="auto"/>
              <w:bottom w:val="outset" w:sz="6" w:space="0" w:color="auto"/>
              <w:right w:val="outset" w:sz="6" w:space="0" w:color="auto"/>
            </w:tcBorders>
            <w:noWrap/>
            <w:hideMark/>
          </w:tcPr>
          <w:p w:rsidR="00CD0C50" w:rsidRDefault="00B63D6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600" w:type="pct"/>
            <w:tcBorders>
              <w:top w:val="outset" w:sz="6" w:space="0" w:color="auto"/>
              <w:left w:val="outset" w:sz="6" w:space="0" w:color="auto"/>
              <w:bottom w:val="outset" w:sz="6" w:space="0" w:color="auto"/>
              <w:right w:val="outset" w:sz="6" w:space="0" w:color="auto"/>
            </w:tcBorders>
            <w:noWrap/>
            <w:hideMark/>
          </w:tcPr>
          <w:p w:rsidR="00CD0C50" w:rsidRDefault="00B63D6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Oral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CD0C50" w:rsidRDefault="00B63D6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Skin LD50, </w:t>
            </w:r>
            <w:r>
              <w:rPr>
                <w:rFonts w:ascii="Arial" w:eastAsia="Times New Roman" w:hAnsi="Arial" w:cs="Arial"/>
                <w:b/>
                <w:bCs/>
                <w:color w:val="000000"/>
                <w:sz w:val="16"/>
                <w:szCs w:val="16"/>
              </w:rPr>
              <w:br/>
              <w:t>mg/kg</w:t>
            </w:r>
          </w:p>
        </w:tc>
        <w:tc>
          <w:tcPr>
            <w:tcW w:w="600" w:type="pct"/>
            <w:tcBorders>
              <w:top w:val="outset" w:sz="6" w:space="0" w:color="auto"/>
              <w:left w:val="outset" w:sz="6" w:space="0" w:color="auto"/>
              <w:bottom w:val="outset" w:sz="6" w:space="0" w:color="auto"/>
              <w:right w:val="outset" w:sz="6" w:space="0" w:color="auto"/>
            </w:tcBorders>
            <w:noWrap/>
            <w:hideMark/>
          </w:tcPr>
          <w:p w:rsidR="00CD0C50" w:rsidRDefault="00B63D6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Inhalation </w:t>
            </w:r>
            <w:r>
              <w:rPr>
                <w:rFonts w:ascii="Arial" w:eastAsia="Times New Roman" w:hAnsi="Arial" w:cs="Arial"/>
                <w:b/>
                <w:bCs/>
                <w:color w:val="000000"/>
                <w:sz w:val="16"/>
                <w:szCs w:val="16"/>
              </w:rPr>
              <w:br/>
              <w:t xml:space="preserve">Vapor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CD0C50" w:rsidRDefault="00B63D6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Dust/Mist LC50, </w:t>
            </w:r>
            <w:r>
              <w:rPr>
                <w:rFonts w:ascii="Arial" w:eastAsia="Times New Roman" w:hAnsi="Arial" w:cs="Arial"/>
                <w:b/>
                <w:bCs/>
                <w:color w:val="000000"/>
                <w:sz w:val="16"/>
                <w:szCs w:val="16"/>
              </w:rPr>
              <w:br/>
              <w:t>mg/L/4hr</w:t>
            </w:r>
          </w:p>
        </w:tc>
        <w:tc>
          <w:tcPr>
            <w:tcW w:w="600" w:type="pct"/>
            <w:tcBorders>
              <w:top w:val="outset" w:sz="6" w:space="0" w:color="auto"/>
              <w:left w:val="outset" w:sz="6" w:space="0" w:color="auto"/>
              <w:bottom w:val="outset" w:sz="6" w:space="0" w:color="auto"/>
              <w:right w:val="outset" w:sz="6" w:space="0" w:color="auto"/>
            </w:tcBorders>
            <w:noWrap/>
            <w:hideMark/>
          </w:tcPr>
          <w:p w:rsidR="00CD0C50" w:rsidRDefault="00B63D6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Inhalation</w:t>
            </w:r>
            <w:r>
              <w:rPr>
                <w:rFonts w:ascii="Arial" w:eastAsia="Times New Roman" w:hAnsi="Arial" w:cs="Arial"/>
                <w:b/>
                <w:bCs/>
                <w:color w:val="000000"/>
                <w:sz w:val="16"/>
                <w:szCs w:val="16"/>
              </w:rPr>
              <w:br/>
              <w:t xml:space="preserve">Gas LC50, </w:t>
            </w:r>
            <w:r>
              <w:rPr>
                <w:rFonts w:ascii="Arial" w:eastAsia="Times New Roman" w:hAnsi="Arial" w:cs="Arial"/>
                <w:b/>
                <w:bCs/>
                <w:color w:val="000000"/>
                <w:sz w:val="16"/>
                <w:szCs w:val="16"/>
              </w:rPr>
              <w:br/>
              <w:t>ppm</w:t>
            </w:r>
          </w:p>
        </w:tc>
      </w:tr>
      <w:tr w:rsidR="00CD0C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Calcium peroxide (Ca(O2)) - (1305-79-9)</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CD0C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Barium hydroxide (Ba(OH)2) - (17194-00-2)</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No data available    </w:t>
            </w:r>
          </w:p>
        </w:tc>
      </w:tr>
      <w:tr w:rsidR="00CD0C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Toluene - (108-88-3)</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636.00, Rat - Category: 4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8,400.00, Rabbit - Category: NA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No data available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No data available    </w:t>
            </w:r>
          </w:p>
        </w:tc>
      </w:tr>
    </w:tbl>
    <w:p w:rsidR="00CD0C50" w:rsidRDefault="00CD0C50">
      <w:pPr>
        <w:rPr>
          <w:rFonts w:eastAsia="Times New Roman"/>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Note: When no route specific LD50 data is available for an acute toxin, the converted acute toxicity point estimate was used in the calculation of the product's ATE (Acute Toxicity Estimate). </w:t>
            </w:r>
          </w:p>
        </w:tc>
      </w:tr>
    </w:tbl>
    <w:p w:rsidR="00CD0C50" w:rsidRDefault="00B63D6C">
      <w:pPr>
        <w:rPr>
          <w:rFonts w:eastAsia="Times New Roman"/>
        </w:rPr>
      </w:pPr>
      <w:r>
        <w:rPr>
          <w:rFonts w:eastAsia="Times New Roman"/>
        </w:rPr>
        <w:br/>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70"/>
        <w:gridCol w:w="1669"/>
        <w:gridCol w:w="4961"/>
      </w:tblGrid>
      <w:tr w:rsidR="00CD0C50">
        <w:trPr>
          <w:tblCellSpacing w:w="15"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Classification</w:t>
            </w:r>
          </w:p>
        </w:tc>
        <w:tc>
          <w:tcPr>
            <w:tcW w:w="750" w:type="pct"/>
            <w:tcBorders>
              <w:top w:val="outset" w:sz="6" w:space="0" w:color="auto"/>
              <w:left w:val="outset" w:sz="6" w:space="0" w:color="auto"/>
              <w:bottom w:val="outset" w:sz="6" w:space="0" w:color="auto"/>
              <w:right w:val="outset" w:sz="6" w:space="0" w:color="auto"/>
            </w:tcBorders>
            <w:vAlign w:val="center"/>
            <w:hideMark/>
          </w:tcPr>
          <w:p w:rsidR="00CD0C50" w:rsidRDefault="00B63D6C">
            <w:pPr>
              <w:jc w:val="center"/>
              <w:rPr>
                <w:rFonts w:ascii="Arial" w:eastAsia="Times New Roman" w:hAnsi="Arial" w:cs="Arial"/>
                <w:b/>
                <w:bCs/>
                <w:color w:val="000000"/>
                <w:sz w:val="20"/>
                <w:szCs w:val="20"/>
              </w:rPr>
            </w:pPr>
            <w:r>
              <w:rPr>
                <w:rFonts w:ascii="Arial" w:eastAsia="Times New Roman" w:hAnsi="Arial" w:cs="Arial"/>
                <w:b/>
                <w:bCs/>
                <w:color w:val="000000"/>
                <w:sz w:val="20"/>
                <w:szCs w:val="20"/>
              </w:rPr>
              <w:t>Category</w:t>
            </w:r>
          </w:p>
        </w:tc>
        <w:tc>
          <w:tcPr>
            <w:tcW w:w="2250" w:type="pct"/>
            <w:tcBorders>
              <w:top w:val="outset" w:sz="6" w:space="0" w:color="auto"/>
              <w:left w:val="outset" w:sz="6" w:space="0" w:color="auto"/>
              <w:bottom w:val="outset" w:sz="6" w:space="0" w:color="auto"/>
              <w:right w:val="outset" w:sz="6" w:space="0" w:color="auto"/>
            </w:tcBorders>
            <w:vAlign w:val="center"/>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Hazard Description</w:t>
            </w:r>
          </w:p>
        </w:tc>
      </w:tr>
      <w:tr w:rsidR="00CD0C5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Acute toxicity (oral)</w:t>
            </w:r>
          </w:p>
        </w:tc>
        <w:tc>
          <w:tcPr>
            <w:tcW w:w="750" w:type="pct"/>
            <w:tcBorders>
              <w:top w:val="outset" w:sz="6" w:space="0" w:color="auto"/>
              <w:left w:val="outset" w:sz="6" w:space="0" w:color="auto"/>
              <w:bottom w:val="outset" w:sz="6" w:space="0" w:color="auto"/>
              <w:right w:val="outset" w:sz="6" w:space="0" w:color="auto"/>
            </w:tcBorders>
            <w:hideMark/>
          </w:tcPr>
          <w:p w:rsidR="00CD0C50" w:rsidRDefault="00B63D6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D0C5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Acute toxicity (dermal)</w:t>
            </w:r>
          </w:p>
        </w:tc>
        <w:tc>
          <w:tcPr>
            <w:tcW w:w="750" w:type="pct"/>
            <w:tcBorders>
              <w:top w:val="outset" w:sz="6" w:space="0" w:color="auto"/>
              <w:left w:val="outset" w:sz="6" w:space="0" w:color="auto"/>
              <w:bottom w:val="outset" w:sz="6" w:space="0" w:color="auto"/>
              <w:right w:val="outset" w:sz="6" w:space="0" w:color="auto"/>
            </w:tcBorders>
            <w:hideMark/>
          </w:tcPr>
          <w:p w:rsidR="00CD0C50" w:rsidRDefault="00B63D6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D0C5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Acute toxicity (inhalation)</w:t>
            </w:r>
          </w:p>
        </w:tc>
        <w:tc>
          <w:tcPr>
            <w:tcW w:w="750" w:type="pct"/>
            <w:tcBorders>
              <w:top w:val="outset" w:sz="6" w:space="0" w:color="auto"/>
              <w:left w:val="outset" w:sz="6" w:space="0" w:color="auto"/>
              <w:bottom w:val="outset" w:sz="6" w:space="0" w:color="auto"/>
              <w:right w:val="outset" w:sz="6" w:space="0" w:color="auto"/>
            </w:tcBorders>
            <w:hideMark/>
          </w:tcPr>
          <w:p w:rsidR="00CD0C50" w:rsidRDefault="00B63D6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D0C5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Skin corrosion/irritation</w:t>
            </w:r>
          </w:p>
        </w:tc>
        <w:tc>
          <w:tcPr>
            <w:tcW w:w="750" w:type="pct"/>
            <w:tcBorders>
              <w:top w:val="outset" w:sz="6" w:space="0" w:color="auto"/>
              <w:left w:val="outset" w:sz="6" w:space="0" w:color="auto"/>
              <w:bottom w:val="outset" w:sz="6" w:space="0" w:color="auto"/>
              <w:right w:val="outset" w:sz="6" w:space="0" w:color="auto"/>
            </w:tcBorders>
            <w:hideMark/>
          </w:tcPr>
          <w:p w:rsidR="00CD0C50" w:rsidRDefault="00B63D6C">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2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Not Applicable </w:t>
            </w:r>
          </w:p>
        </w:tc>
      </w:tr>
      <w:tr w:rsidR="00CD0C5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Serious eye damage/irritation</w:t>
            </w:r>
          </w:p>
        </w:tc>
        <w:tc>
          <w:tcPr>
            <w:tcW w:w="750" w:type="pct"/>
            <w:tcBorders>
              <w:top w:val="outset" w:sz="6" w:space="0" w:color="auto"/>
              <w:left w:val="outset" w:sz="6" w:space="0" w:color="auto"/>
              <w:bottom w:val="outset" w:sz="6" w:space="0" w:color="auto"/>
              <w:right w:val="outset" w:sz="6" w:space="0" w:color="auto"/>
            </w:tcBorders>
            <w:hideMark/>
          </w:tcPr>
          <w:p w:rsidR="00CD0C50" w:rsidRDefault="00B63D6C">
            <w:pPr>
              <w:jc w:val="cente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2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Not Applicable </w:t>
            </w:r>
          </w:p>
        </w:tc>
      </w:tr>
      <w:tr w:rsidR="00CD0C5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Respiratory sensitization</w:t>
            </w:r>
          </w:p>
        </w:tc>
        <w:tc>
          <w:tcPr>
            <w:tcW w:w="750" w:type="pct"/>
            <w:tcBorders>
              <w:top w:val="outset" w:sz="6" w:space="0" w:color="auto"/>
              <w:left w:val="outset" w:sz="6" w:space="0" w:color="auto"/>
              <w:bottom w:val="outset" w:sz="6" w:space="0" w:color="auto"/>
              <w:right w:val="outset" w:sz="6" w:space="0" w:color="auto"/>
            </w:tcBorders>
            <w:hideMark/>
          </w:tcPr>
          <w:p w:rsidR="00CD0C50" w:rsidRDefault="00B63D6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D0C5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Skin sensitization</w:t>
            </w:r>
          </w:p>
        </w:tc>
        <w:tc>
          <w:tcPr>
            <w:tcW w:w="750" w:type="pct"/>
            <w:tcBorders>
              <w:top w:val="outset" w:sz="6" w:space="0" w:color="auto"/>
              <w:left w:val="outset" w:sz="6" w:space="0" w:color="auto"/>
              <w:bottom w:val="outset" w:sz="6" w:space="0" w:color="auto"/>
              <w:right w:val="outset" w:sz="6" w:space="0" w:color="auto"/>
            </w:tcBorders>
            <w:hideMark/>
          </w:tcPr>
          <w:p w:rsidR="00CD0C50" w:rsidRDefault="00B63D6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D0C5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Germ cell mutagenicity</w:t>
            </w:r>
          </w:p>
        </w:tc>
        <w:tc>
          <w:tcPr>
            <w:tcW w:w="750" w:type="pct"/>
            <w:tcBorders>
              <w:top w:val="outset" w:sz="6" w:space="0" w:color="auto"/>
              <w:left w:val="outset" w:sz="6" w:space="0" w:color="auto"/>
              <w:bottom w:val="outset" w:sz="6" w:space="0" w:color="auto"/>
              <w:right w:val="outset" w:sz="6" w:space="0" w:color="auto"/>
            </w:tcBorders>
            <w:hideMark/>
          </w:tcPr>
          <w:p w:rsidR="00CD0C50" w:rsidRDefault="00B63D6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D0C5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Carcinogenicity</w:t>
            </w:r>
          </w:p>
        </w:tc>
        <w:tc>
          <w:tcPr>
            <w:tcW w:w="750" w:type="pct"/>
            <w:tcBorders>
              <w:top w:val="outset" w:sz="6" w:space="0" w:color="auto"/>
              <w:left w:val="outset" w:sz="6" w:space="0" w:color="auto"/>
              <w:bottom w:val="outset" w:sz="6" w:space="0" w:color="auto"/>
              <w:right w:val="outset" w:sz="6" w:space="0" w:color="auto"/>
            </w:tcBorders>
            <w:hideMark/>
          </w:tcPr>
          <w:p w:rsidR="00CD0C50" w:rsidRDefault="00B63D6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D0C5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Reproductive toxicity</w:t>
            </w:r>
          </w:p>
        </w:tc>
        <w:tc>
          <w:tcPr>
            <w:tcW w:w="750" w:type="pct"/>
            <w:tcBorders>
              <w:top w:val="outset" w:sz="6" w:space="0" w:color="auto"/>
              <w:left w:val="outset" w:sz="6" w:space="0" w:color="auto"/>
              <w:bottom w:val="outset" w:sz="6" w:space="0" w:color="auto"/>
              <w:right w:val="outset" w:sz="6" w:space="0" w:color="auto"/>
            </w:tcBorders>
            <w:hideMark/>
          </w:tcPr>
          <w:p w:rsidR="00CD0C50" w:rsidRDefault="00B63D6C">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Suspected of damaging the unborn child. </w:t>
            </w:r>
          </w:p>
        </w:tc>
      </w:tr>
      <w:tr w:rsidR="00CD0C5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STOT-single exposure</w:t>
            </w:r>
          </w:p>
        </w:tc>
        <w:tc>
          <w:tcPr>
            <w:tcW w:w="750" w:type="pct"/>
            <w:tcBorders>
              <w:top w:val="outset" w:sz="6" w:space="0" w:color="auto"/>
              <w:left w:val="outset" w:sz="6" w:space="0" w:color="auto"/>
              <w:bottom w:val="outset" w:sz="6" w:space="0" w:color="auto"/>
              <w:right w:val="outset" w:sz="6" w:space="0" w:color="auto"/>
            </w:tcBorders>
            <w:hideMark/>
          </w:tcPr>
          <w:p w:rsidR="00CD0C50" w:rsidRDefault="00B63D6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r w:rsidR="00CD0C5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STOT-repeated exposure</w:t>
            </w:r>
          </w:p>
        </w:tc>
        <w:tc>
          <w:tcPr>
            <w:tcW w:w="750" w:type="pct"/>
            <w:tcBorders>
              <w:top w:val="outset" w:sz="6" w:space="0" w:color="auto"/>
              <w:left w:val="outset" w:sz="6" w:space="0" w:color="auto"/>
              <w:bottom w:val="outset" w:sz="6" w:space="0" w:color="auto"/>
              <w:right w:val="outset" w:sz="6" w:space="0" w:color="auto"/>
            </w:tcBorders>
            <w:hideMark/>
          </w:tcPr>
          <w:p w:rsidR="00CD0C50" w:rsidRDefault="00B63D6C">
            <w:pPr>
              <w:jc w:val="center"/>
              <w:rPr>
                <w:rFonts w:ascii="Arial" w:eastAsia="Times New Roman" w:hAnsi="Arial" w:cs="Arial"/>
                <w:color w:val="000000"/>
                <w:sz w:val="20"/>
                <w:szCs w:val="20"/>
              </w:rPr>
            </w:pPr>
            <w:r>
              <w:rPr>
                <w:rFonts w:ascii="Arial" w:eastAsia="Times New Roman" w:hAnsi="Arial" w:cs="Arial"/>
                <w:color w:val="000000"/>
                <w:sz w:val="20"/>
                <w:szCs w:val="20"/>
              </w:rPr>
              <w:t>2 </w:t>
            </w:r>
          </w:p>
        </w:tc>
        <w:tc>
          <w:tcPr>
            <w:tcW w:w="22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May cause damage to organs through prolonged or repeated exposure. </w:t>
            </w:r>
          </w:p>
        </w:tc>
      </w:tr>
      <w:tr w:rsidR="00CD0C50">
        <w:trPr>
          <w:tblCellSpacing w:w="15" w:type="dxa"/>
        </w:trPr>
        <w:tc>
          <w:tcPr>
            <w:tcW w:w="17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Aspiration hazard</w:t>
            </w:r>
          </w:p>
        </w:tc>
        <w:tc>
          <w:tcPr>
            <w:tcW w:w="750" w:type="pct"/>
            <w:tcBorders>
              <w:top w:val="outset" w:sz="6" w:space="0" w:color="auto"/>
              <w:left w:val="outset" w:sz="6" w:space="0" w:color="auto"/>
              <w:bottom w:val="outset" w:sz="6" w:space="0" w:color="auto"/>
              <w:right w:val="outset" w:sz="6" w:space="0" w:color="auto"/>
            </w:tcBorders>
            <w:hideMark/>
          </w:tcPr>
          <w:p w:rsidR="00CD0C50" w:rsidRDefault="00B63D6C">
            <w:pPr>
              <w:jc w:val="center"/>
              <w:rPr>
                <w:rFonts w:ascii="Arial" w:eastAsia="Times New Roman" w:hAnsi="Arial" w:cs="Arial"/>
                <w:color w:val="000000"/>
                <w:sz w:val="20"/>
                <w:szCs w:val="20"/>
              </w:rPr>
            </w:pPr>
            <w:r>
              <w:rPr>
                <w:rFonts w:ascii="Arial" w:eastAsia="Times New Roman" w:hAnsi="Arial" w:cs="Arial"/>
                <w:color w:val="000000"/>
                <w:sz w:val="20"/>
                <w:szCs w:val="20"/>
              </w:rPr>
              <w:t>---</w:t>
            </w:r>
          </w:p>
        </w:tc>
        <w:tc>
          <w:tcPr>
            <w:tcW w:w="2250" w:type="pct"/>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CD0C50" w:rsidRDefault="00CD0C5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b/>
                <w:bCs/>
                <w:color w:val="000000"/>
                <w:sz w:val="28"/>
                <w:szCs w:val="28"/>
              </w:rPr>
            </w:pPr>
            <w:r>
              <w:rPr>
                <w:rFonts w:ascii="Arial" w:hAnsi="Arial" w:cs="Arial"/>
                <w:b/>
                <w:bCs/>
                <w:color w:val="000000"/>
                <w:sz w:val="28"/>
                <w:szCs w:val="28"/>
              </w:rPr>
              <w:t>12. Ecological information</w:t>
            </w:r>
          </w:p>
        </w:tc>
      </w:tr>
    </w:tbl>
    <w:p w:rsidR="00CD0C50" w:rsidRDefault="00B63D6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12.1. Toxicity</w:t>
            </w:r>
          </w:p>
        </w:tc>
      </w:tr>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 additional information provided for this product. See Section 3 for chemical specific data.</w:t>
            </w:r>
          </w:p>
        </w:tc>
      </w:tr>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Aquatic </w:t>
            </w:r>
            <w:proofErr w:type="spellStart"/>
            <w:r>
              <w:rPr>
                <w:rFonts w:ascii="Arial" w:eastAsia="Times New Roman" w:hAnsi="Arial" w:cs="Arial"/>
                <w:b/>
                <w:bCs/>
                <w:color w:val="000000"/>
                <w:sz w:val="20"/>
                <w:szCs w:val="20"/>
              </w:rPr>
              <w:t>Ecotoxicity</w:t>
            </w:r>
            <w:proofErr w:type="spellEnd"/>
          </w:p>
        </w:tc>
      </w:tr>
      <w:tr w:rsidR="00CD0C50">
        <w:trPr>
          <w:tblCellSpacing w:w="15" w:type="dxa"/>
        </w:trPr>
        <w:tc>
          <w:tcPr>
            <w:tcW w:w="0" w:type="auto"/>
            <w:hideMark/>
          </w:tcPr>
          <w:p w:rsidR="00CD0C50" w:rsidRDefault="00CD0C50">
            <w:pPr>
              <w:rPr>
                <w:rFonts w:ascii="Arial" w:eastAsia="Times New Roman" w:hAnsi="Arial" w:cs="Arial"/>
                <w:b/>
                <w:bCs/>
                <w:color w:val="000000"/>
                <w:sz w:val="20"/>
                <w:szCs w:val="20"/>
              </w:rPr>
            </w:pPr>
          </w:p>
        </w:tc>
      </w:tr>
    </w:tbl>
    <w:p w:rsidR="00CD0C50" w:rsidRDefault="00CD0C50">
      <w:pPr>
        <w:rPr>
          <w:rFonts w:eastAsia="Times New Roman"/>
          <w:vanish/>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85"/>
        <w:gridCol w:w="2100"/>
        <w:gridCol w:w="2100"/>
        <w:gridCol w:w="2115"/>
      </w:tblGrid>
      <w:tr w:rsidR="00CD0C50">
        <w:trPr>
          <w:tblCellSpacing w:w="15" w:type="dxa"/>
        </w:trPr>
        <w:tc>
          <w:tcPr>
            <w:tcW w:w="2000" w:type="pct"/>
            <w:tcBorders>
              <w:top w:val="outset" w:sz="6" w:space="0" w:color="auto"/>
              <w:left w:val="outset" w:sz="6" w:space="0" w:color="auto"/>
              <w:bottom w:val="outset" w:sz="6" w:space="0" w:color="auto"/>
              <w:right w:val="outset" w:sz="6" w:space="0" w:color="auto"/>
            </w:tcBorders>
            <w:noWrap/>
            <w:vAlign w:val="center"/>
            <w:hideMark/>
          </w:tcPr>
          <w:p w:rsidR="00CD0C50" w:rsidRDefault="00B63D6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Ingredient</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D0C50" w:rsidRDefault="00B63D6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96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LC50 fish,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D0C50" w:rsidRDefault="00B63D6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48 </w:t>
            </w:r>
            <w:proofErr w:type="spellStart"/>
            <w:r>
              <w:rPr>
                <w:rFonts w:ascii="Arial" w:eastAsia="Times New Roman" w:hAnsi="Arial" w:cs="Arial"/>
                <w:b/>
                <w:bCs/>
                <w:color w:val="000000"/>
                <w:sz w:val="16"/>
                <w:szCs w:val="16"/>
              </w:rPr>
              <w:t>hr</w:t>
            </w:r>
            <w:proofErr w:type="spellEnd"/>
            <w:r>
              <w:rPr>
                <w:rFonts w:ascii="Arial" w:eastAsia="Times New Roman" w:hAnsi="Arial" w:cs="Arial"/>
                <w:b/>
                <w:bCs/>
                <w:color w:val="000000"/>
                <w:sz w:val="16"/>
                <w:szCs w:val="16"/>
              </w:rPr>
              <w:t xml:space="preserve"> EC50 </w:t>
            </w:r>
            <w:proofErr w:type="spellStart"/>
            <w:r>
              <w:rPr>
                <w:rFonts w:ascii="Arial" w:eastAsia="Times New Roman" w:hAnsi="Arial" w:cs="Arial"/>
                <w:b/>
                <w:bCs/>
                <w:color w:val="000000"/>
                <w:sz w:val="16"/>
                <w:szCs w:val="16"/>
              </w:rPr>
              <w:t>crustacea</w:t>
            </w:r>
            <w:proofErr w:type="spellEnd"/>
            <w:r>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br/>
              <w:t>mg/l</w:t>
            </w:r>
          </w:p>
        </w:tc>
        <w:tc>
          <w:tcPr>
            <w:tcW w:w="1000" w:type="pct"/>
            <w:tcBorders>
              <w:top w:val="outset" w:sz="6" w:space="0" w:color="auto"/>
              <w:left w:val="outset" w:sz="6" w:space="0" w:color="auto"/>
              <w:bottom w:val="outset" w:sz="6" w:space="0" w:color="auto"/>
              <w:right w:val="outset" w:sz="6" w:space="0" w:color="auto"/>
            </w:tcBorders>
            <w:noWrap/>
            <w:vAlign w:val="center"/>
            <w:hideMark/>
          </w:tcPr>
          <w:p w:rsidR="00CD0C50" w:rsidRDefault="00B63D6C">
            <w:pPr>
              <w:jc w:val="center"/>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ErC50 algae, </w:t>
            </w:r>
            <w:r>
              <w:rPr>
                <w:rFonts w:ascii="Arial" w:eastAsia="Times New Roman" w:hAnsi="Arial" w:cs="Arial"/>
                <w:b/>
                <w:bCs/>
                <w:color w:val="000000"/>
                <w:sz w:val="16"/>
                <w:szCs w:val="16"/>
              </w:rPr>
              <w:br/>
              <w:t>mg/l</w:t>
            </w:r>
          </w:p>
        </w:tc>
      </w:tr>
      <w:tr w:rsidR="00CD0C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Calcium peroxide (Ca(O2)) - (1305-79-9)</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CD0C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t>Barium hydroxide (Ba(OH)2) - (17194-00-2)</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 xml:space="preserve"> Not Available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 Not Available    </w:t>
            </w:r>
          </w:p>
        </w:tc>
      </w:tr>
      <w:tr w:rsidR="00CD0C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rPr>
                <w:rFonts w:ascii="Arial" w:eastAsia="Times New Roman" w:hAnsi="Arial" w:cs="Arial"/>
                <w:color w:val="000000"/>
                <w:sz w:val="16"/>
                <w:szCs w:val="16"/>
              </w:rPr>
            </w:pPr>
            <w:r>
              <w:rPr>
                <w:rFonts w:ascii="Arial" w:eastAsia="Times New Roman" w:hAnsi="Arial" w:cs="Arial"/>
                <w:color w:val="000000"/>
                <w:sz w:val="16"/>
                <w:szCs w:val="16"/>
              </w:rPr>
              <w:lastRenderedPageBreak/>
              <w:t>Toluene - (108-88-3)</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  5.80, </w:t>
            </w:r>
            <w:proofErr w:type="spellStart"/>
            <w:r>
              <w:rPr>
                <w:rFonts w:ascii="Arial" w:hAnsi="Arial" w:cs="Arial"/>
                <w:color w:val="000000"/>
                <w:sz w:val="16"/>
                <w:szCs w:val="16"/>
              </w:rPr>
              <w:t>Oncorhynchus</w:t>
            </w:r>
            <w:proofErr w:type="spellEnd"/>
            <w:r>
              <w:rPr>
                <w:rFonts w:ascii="Arial" w:hAnsi="Arial" w:cs="Arial"/>
                <w:color w:val="000000"/>
                <w:sz w:val="16"/>
                <w:szCs w:val="16"/>
              </w:rPr>
              <w:t xml:space="preserve"> mykiss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 xml:space="preserve">  19.60, Daphnia magna  </w:t>
            </w:r>
          </w:p>
        </w:tc>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color w:val="000000"/>
                <w:sz w:val="16"/>
                <w:szCs w:val="16"/>
              </w:rPr>
            </w:pPr>
            <w:r>
              <w:rPr>
                <w:rFonts w:ascii="Arial" w:hAnsi="Arial" w:cs="Arial"/>
                <w:color w:val="000000"/>
                <w:sz w:val="16"/>
                <w:szCs w:val="16"/>
              </w:rPr>
              <w:t> Not Available     </w:t>
            </w:r>
          </w:p>
        </w:tc>
      </w:tr>
    </w:tbl>
    <w:p w:rsidR="00CD0C50" w:rsidRDefault="00B63D6C">
      <w:pPr>
        <w:rPr>
          <w:rFonts w:eastAsia="Times New Roman"/>
        </w:rPr>
      </w:pPr>
      <w:r>
        <w:rPr>
          <w:rFonts w:eastAsia="Times New Roman"/>
        </w:rPr>
        <w:br/>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12.2. Persistence and degradability</w:t>
            </w:r>
          </w:p>
        </w:tc>
      </w:tr>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There is no data available on the preparation itself.</w:t>
            </w:r>
          </w:p>
        </w:tc>
      </w:tr>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12.3. </w:t>
            </w:r>
            <w:proofErr w:type="spellStart"/>
            <w:r>
              <w:rPr>
                <w:rFonts w:ascii="Arial" w:eastAsia="Times New Roman" w:hAnsi="Arial" w:cs="Arial"/>
                <w:b/>
                <w:bCs/>
                <w:color w:val="000000"/>
                <w:sz w:val="20"/>
                <w:szCs w:val="20"/>
              </w:rPr>
              <w:t>Bioaccumulative</w:t>
            </w:r>
            <w:proofErr w:type="spellEnd"/>
            <w:r>
              <w:rPr>
                <w:rFonts w:ascii="Arial" w:eastAsia="Times New Roman" w:hAnsi="Arial" w:cs="Arial"/>
                <w:b/>
                <w:bCs/>
                <w:color w:val="000000"/>
                <w:sz w:val="20"/>
                <w:szCs w:val="20"/>
              </w:rPr>
              <w:t xml:space="preserve"> potential</w:t>
            </w:r>
          </w:p>
        </w:tc>
      </w:tr>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Not Measured</w:t>
            </w:r>
          </w:p>
        </w:tc>
      </w:tr>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12.4. Mobility in soil</w:t>
            </w:r>
          </w:p>
        </w:tc>
      </w:tr>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12.5. Results of PBT and </w:t>
            </w:r>
            <w:proofErr w:type="spellStart"/>
            <w:r>
              <w:rPr>
                <w:rFonts w:ascii="Arial" w:eastAsia="Times New Roman" w:hAnsi="Arial" w:cs="Arial"/>
                <w:b/>
                <w:bCs/>
                <w:color w:val="000000"/>
                <w:sz w:val="20"/>
                <w:szCs w:val="20"/>
              </w:rPr>
              <w:t>vPvB</w:t>
            </w:r>
            <w:proofErr w:type="spellEnd"/>
            <w:r>
              <w:rPr>
                <w:rFonts w:ascii="Arial" w:eastAsia="Times New Roman" w:hAnsi="Arial" w:cs="Arial"/>
                <w:b/>
                <w:bCs/>
                <w:color w:val="000000"/>
                <w:sz w:val="20"/>
                <w:szCs w:val="20"/>
              </w:rPr>
              <w:t xml:space="preserve"> assessment</w:t>
            </w:r>
          </w:p>
        </w:tc>
      </w:tr>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This product contains no PBT/</w:t>
            </w:r>
            <w:proofErr w:type="spellStart"/>
            <w:r>
              <w:rPr>
                <w:rFonts w:ascii="Arial" w:eastAsia="Times New Roman" w:hAnsi="Arial" w:cs="Arial"/>
                <w:color w:val="000000"/>
                <w:sz w:val="20"/>
                <w:szCs w:val="20"/>
              </w:rPr>
              <w:t>vPvB</w:t>
            </w:r>
            <w:proofErr w:type="spellEnd"/>
            <w:r>
              <w:rPr>
                <w:rFonts w:ascii="Arial" w:eastAsia="Times New Roman" w:hAnsi="Arial" w:cs="Arial"/>
                <w:color w:val="000000"/>
                <w:sz w:val="20"/>
                <w:szCs w:val="20"/>
              </w:rPr>
              <w:t xml:space="preserve"> chemicals.</w:t>
            </w:r>
          </w:p>
        </w:tc>
      </w:tr>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12.6. Other adverse effects</w:t>
            </w:r>
          </w:p>
        </w:tc>
      </w:tr>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 data available.</w:t>
            </w:r>
          </w:p>
        </w:tc>
      </w:tr>
    </w:tbl>
    <w:p w:rsidR="00CD0C50" w:rsidRDefault="00CD0C5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b/>
                <w:bCs/>
                <w:color w:val="000000"/>
                <w:sz w:val="28"/>
                <w:szCs w:val="28"/>
              </w:rPr>
            </w:pPr>
            <w:r>
              <w:rPr>
                <w:rFonts w:ascii="Arial" w:hAnsi="Arial" w:cs="Arial"/>
                <w:b/>
                <w:bCs/>
                <w:color w:val="000000"/>
                <w:sz w:val="28"/>
                <w:szCs w:val="28"/>
              </w:rPr>
              <w:t>13. Disposal considerations</w:t>
            </w:r>
          </w:p>
        </w:tc>
      </w:tr>
    </w:tbl>
    <w:p w:rsidR="00CD0C50" w:rsidRDefault="00B63D6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13.1. Waste treatment methods</w:t>
            </w:r>
          </w:p>
        </w:tc>
      </w:tr>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Observe all federal, state and local regulations when disposing of this substance.</w:t>
            </w:r>
          </w:p>
        </w:tc>
      </w:tr>
    </w:tbl>
    <w:p w:rsidR="00CD0C50" w:rsidRDefault="00CD0C5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b/>
                <w:bCs/>
                <w:color w:val="000000"/>
                <w:sz w:val="28"/>
                <w:szCs w:val="28"/>
              </w:rPr>
            </w:pPr>
            <w:r>
              <w:rPr>
                <w:rFonts w:ascii="Arial" w:hAnsi="Arial" w:cs="Arial"/>
                <w:b/>
                <w:bCs/>
                <w:color w:val="000000"/>
                <w:sz w:val="28"/>
                <w:szCs w:val="28"/>
              </w:rPr>
              <w:t>14. Transport information</w:t>
            </w:r>
          </w:p>
        </w:tc>
      </w:tr>
    </w:tbl>
    <w:p w:rsidR="00CD0C50" w:rsidRDefault="00B63D6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675"/>
        <w:gridCol w:w="2854"/>
        <w:gridCol w:w="2526"/>
        <w:gridCol w:w="2445"/>
      </w:tblGrid>
      <w:tr w:rsidR="00CD0C50">
        <w:trPr>
          <w:tblCellSpacing w:w="15" w:type="dxa"/>
        </w:trPr>
        <w:tc>
          <w:tcPr>
            <w:tcW w:w="2250" w:type="dxa"/>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2760" w:type="dxa"/>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DOT (Domestic Surface Transportation)</w:t>
            </w:r>
          </w:p>
        </w:tc>
        <w:tc>
          <w:tcPr>
            <w:tcW w:w="2760" w:type="dxa"/>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IMO / IMDG (Ocean Transportation)</w:t>
            </w:r>
          </w:p>
        </w:tc>
        <w:tc>
          <w:tcPr>
            <w:tcW w:w="2760" w:type="dxa"/>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ICAO/IATA</w:t>
            </w:r>
          </w:p>
        </w:tc>
      </w:tr>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14.1. UN number</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14.2. UN proper shipping name</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Not Regulated</w:t>
            </w:r>
          </w:p>
        </w:tc>
      </w:tr>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14.3. Transport hazard class(</w:t>
            </w:r>
            <w:proofErr w:type="spellStart"/>
            <w:r>
              <w:rPr>
                <w:rFonts w:ascii="Arial" w:eastAsia="Times New Roman" w:hAnsi="Arial" w:cs="Arial"/>
                <w:b/>
                <w:bCs/>
                <w:color w:val="000000"/>
                <w:sz w:val="20"/>
                <w:szCs w:val="20"/>
              </w:rPr>
              <w:t>es</w:t>
            </w:r>
            <w:proofErr w:type="spellEnd"/>
            <w:r>
              <w:rPr>
                <w:rFonts w:ascii="Arial" w:eastAsia="Times New Roman" w:hAnsi="Arial" w:cs="Arial"/>
                <w:b/>
                <w:bCs/>
                <w:color w:val="000000"/>
                <w:sz w:val="20"/>
                <w:szCs w:val="20"/>
              </w:rPr>
              <w:t>)</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b/>
                <w:bCs/>
                <w:color w:val="000000"/>
                <w:sz w:val="20"/>
                <w:szCs w:val="20"/>
              </w:rPr>
              <w:t>DOT Hazard Class:</w:t>
            </w:r>
            <w:r>
              <w:rPr>
                <w:rFonts w:ascii="Arial" w:eastAsia="Times New Roman" w:hAnsi="Arial" w:cs="Arial"/>
                <w:color w:val="000000"/>
                <w:sz w:val="20"/>
                <w:szCs w:val="20"/>
              </w:rPr>
              <w:t> Not Applicable</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b/>
                <w:bCs/>
                <w:color w:val="000000"/>
                <w:sz w:val="20"/>
                <w:szCs w:val="20"/>
              </w:rPr>
              <w:t>IMDG:</w:t>
            </w:r>
            <w:r>
              <w:rPr>
                <w:rFonts w:ascii="Arial" w:eastAsia="Times New Roman" w:hAnsi="Arial" w:cs="Arial"/>
                <w:color w:val="000000"/>
                <w:sz w:val="20"/>
                <w:szCs w:val="20"/>
              </w:rPr>
              <w:t> Not Applicable</w:t>
            </w:r>
            <w:r>
              <w:rPr>
                <w:rFonts w:ascii="Arial" w:eastAsia="Times New Roman" w:hAnsi="Arial" w:cs="Arial"/>
                <w:color w:val="000000"/>
                <w:sz w:val="20"/>
                <w:szCs w:val="20"/>
              </w:rPr>
              <w:br/>
            </w:r>
            <w:r>
              <w:rPr>
                <w:rFonts w:ascii="Arial" w:eastAsia="Times New Roman" w:hAnsi="Arial" w:cs="Arial"/>
                <w:b/>
                <w:bCs/>
                <w:color w:val="000000"/>
                <w:sz w:val="20"/>
                <w:szCs w:val="20"/>
              </w:rPr>
              <w:t>Sub Class:</w:t>
            </w:r>
            <w:r>
              <w:rPr>
                <w:rFonts w:ascii="Arial" w:eastAsia="Times New Roman" w:hAnsi="Arial" w:cs="Arial"/>
                <w:color w:val="000000"/>
                <w:sz w:val="20"/>
                <w:szCs w:val="20"/>
              </w:rPr>
              <w:t xml:space="preserve"> Not Applicable </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b/>
                <w:bCs/>
                <w:color w:val="000000"/>
                <w:sz w:val="20"/>
                <w:szCs w:val="20"/>
              </w:rPr>
              <w:t>Air Class:</w:t>
            </w:r>
            <w:r>
              <w:rPr>
                <w:rFonts w:ascii="Arial" w:eastAsia="Times New Roman" w:hAnsi="Arial" w:cs="Arial"/>
                <w:color w:val="000000"/>
                <w:sz w:val="20"/>
                <w:szCs w:val="20"/>
              </w:rPr>
              <w:t xml:space="preserve"> Not Applicable </w:t>
            </w:r>
          </w:p>
        </w:tc>
      </w:tr>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14.4. Packing group</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Not Applicable</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14.5. Environmental hazards</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127"/>
        <w:gridCol w:w="8373"/>
      </w:tblGrid>
      <w:tr w:rsidR="00CD0C50">
        <w:trPr>
          <w:tblCellSpacing w:w="15" w:type="dxa"/>
        </w:trPr>
        <w:tc>
          <w:tcPr>
            <w:tcW w:w="100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IMDG</w:t>
            </w:r>
          </w:p>
        </w:tc>
        <w:tc>
          <w:tcPr>
            <w:tcW w:w="4000" w:type="pct"/>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Marine Pollutant: No </w:t>
            </w:r>
          </w:p>
        </w:tc>
      </w:tr>
      <w:tr w:rsidR="00CD0C50">
        <w:trPr>
          <w:tblCellSpacing w:w="15" w:type="dxa"/>
        </w:trPr>
        <w:tc>
          <w:tcPr>
            <w:tcW w:w="0" w:type="auto"/>
            <w:gridSpan w:val="2"/>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14.6. Special precautions for user</w:t>
            </w:r>
          </w:p>
        </w:tc>
      </w:tr>
      <w:tr w:rsidR="00CD0C50">
        <w:trPr>
          <w:tblCellSpacing w:w="15" w:type="dxa"/>
        </w:trPr>
        <w:tc>
          <w:tcPr>
            <w:tcW w:w="1000" w:type="pct"/>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w:t>
            </w:r>
          </w:p>
        </w:tc>
        <w:tc>
          <w:tcPr>
            <w:tcW w:w="4000" w:type="pct"/>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No further information</w:t>
            </w:r>
          </w:p>
        </w:tc>
      </w:tr>
    </w:tbl>
    <w:p w:rsidR="00CD0C50" w:rsidRDefault="00CD0C50">
      <w:pPr>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b/>
                <w:bCs/>
                <w:color w:val="000000"/>
                <w:sz w:val="28"/>
                <w:szCs w:val="28"/>
              </w:rPr>
            </w:pPr>
            <w:r>
              <w:rPr>
                <w:rFonts w:ascii="Arial" w:hAnsi="Arial" w:cs="Arial"/>
                <w:b/>
                <w:bCs/>
                <w:color w:val="000000"/>
                <w:sz w:val="28"/>
                <w:szCs w:val="28"/>
              </w:rPr>
              <w:t>15. Regulatory information</w:t>
            </w:r>
          </w:p>
        </w:tc>
      </w:tr>
    </w:tbl>
    <w:p w:rsidR="00CD0C50" w:rsidRDefault="00B63D6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35"/>
        <w:gridCol w:w="8165"/>
      </w:tblGrid>
      <w:tr w:rsidR="00CD0C50">
        <w:trPr>
          <w:tblCellSpacing w:w="15" w:type="dxa"/>
        </w:trPr>
        <w:tc>
          <w:tcPr>
            <w:tcW w:w="110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Regulatory Overview</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The regulatory data in Section 15 is not intended to be all-inclusive, only selected regulations are represented.  </w:t>
            </w:r>
          </w:p>
        </w:tc>
      </w:tr>
      <w:tr w:rsidR="00CD0C50">
        <w:trPr>
          <w:tblCellSpacing w:w="15" w:type="dxa"/>
        </w:trPr>
        <w:tc>
          <w:tcPr>
            <w:tcW w:w="110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Toxic Substance Control Act ( TSCA)</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All components of this material are either listed or exempt from listing on the TSCA Inventory. </w:t>
            </w:r>
          </w:p>
        </w:tc>
      </w:tr>
      <w:tr w:rsidR="00CD0C50">
        <w:trPr>
          <w:tblCellSpacing w:w="15" w:type="dxa"/>
        </w:trPr>
        <w:tc>
          <w:tcPr>
            <w:tcW w:w="110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WHMIS Classification</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D2A  </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2328"/>
        <w:gridCol w:w="3352"/>
        <w:gridCol w:w="4820"/>
      </w:tblGrid>
      <w:tr w:rsidR="00CD0C50">
        <w:trPr>
          <w:tblCellSpacing w:w="15" w:type="dxa"/>
        </w:trPr>
        <w:tc>
          <w:tcPr>
            <w:tcW w:w="110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US EPA Tier II Hazards</w:t>
            </w:r>
          </w:p>
        </w:tc>
        <w:tc>
          <w:tcPr>
            <w:tcW w:w="1600" w:type="pct"/>
            <w:hideMark/>
          </w:tcPr>
          <w:p w:rsidR="00CD0C50" w:rsidRDefault="00B63D6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Fire:</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D0C50">
        <w:trPr>
          <w:tblCellSpacing w:w="15" w:type="dxa"/>
        </w:trPr>
        <w:tc>
          <w:tcPr>
            <w:tcW w:w="110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D0C50" w:rsidRDefault="00B63D6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Sudden Release of Pressure:</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D0C50">
        <w:trPr>
          <w:tblCellSpacing w:w="15" w:type="dxa"/>
        </w:trPr>
        <w:tc>
          <w:tcPr>
            <w:tcW w:w="110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D0C50" w:rsidRDefault="00B63D6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Reactive:</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D0C50">
        <w:trPr>
          <w:tblCellSpacing w:w="15" w:type="dxa"/>
        </w:trPr>
        <w:tc>
          <w:tcPr>
            <w:tcW w:w="110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D0C50" w:rsidRDefault="00B63D6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Immediate (Acute):</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No </w:t>
            </w:r>
          </w:p>
        </w:tc>
      </w:tr>
      <w:tr w:rsidR="00CD0C50">
        <w:trPr>
          <w:tblCellSpacing w:w="15" w:type="dxa"/>
        </w:trPr>
        <w:tc>
          <w:tcPr>
            <w:tcW w:w="1100" w:type="pct"/>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 </w:t>
            </w:r>
          </w:p>
        </w:tc>
        <w:tc>
          <w:tcPr>
            <w:tcW w:w="1600" w:type="pct"/>
            <w:hideMark/>
          </w:tcPr>
          <w:p w:rsidR="00CD0C50" w:rsidRDefault="00B63D6C">
            <w:pPr>
              <w:jc w:val="right"/>
              <w:rPr>
                <w:rFonts w:ascii="Arial" w:eastAsia="Times New Roman" w:hAnsi="Arial" w:cs="Arial"/>
                <w:b/>
                <w:bCs/>
                <w:color w:val="000000"/>
                <w:sz w:val="20"/>
                <w:szCs w:val="20"/>
              </w:rPr>
            </w:pPr>
            <w:r>
              <w:rPr>
                <w:rFonts w:ascii="Arial" w:eastAsia="Times New Roman" w:hAnsi="Arial" w:cs="Arial"/>
                <w:b/>
                <w:bCs/>
                <w:color w:val="000000"/>
                <w:sz w:val="20"/>
                <w:szCs w:val="20"/>
              </w:rPr>
              <w:t>Delayed (Chronic):</w:t>
            </w:r>
          </w:p>
        </w:tc>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Yes </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b/>
                <w:bCs/>
                <w:color w:val="000000"/>
                <w:sz w:val="20"/>
                <w:szCs w:val="20"/>
              </w:rPr>
              <w:t>EPCRA 311/312 Chemicals and RQs (</w:t>
            </w:r>
            <w:proofErr w:type="spellStart"/>
            <w:r>
              <w:rPr>
                <w:rFonts w:ascii="Arial" w:eastAsia="Times New Roman" w:hAnsi="Arial" w:cs="Arial"/>
                <w:b/>
                <w:bCs/>
                <w:color w:val="000000"/>
                <w:sz w:val="20"/>
                <w:szCs w:val="20"/>
              </w:rPr>
              <w:t>lbs</w:t>
            </w:r>
            <w:proofErr w:type="spellEnd"/>
            <w:r>
              <w:rPr>
                <w:rFonts w:ascii="Arial" w:eastAsia="Times New Roman" w:hAnsi="Arial" w:cs="Arial"/>
                <w:b/>
                <w:bCs/>
                <w:color w:val="000000"/>
                <w:sz w:val="20"/>
                <w:szCs w:val="20"/>
              </w:rPr>
              <w:t>):</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CD0C50">
        <w:trPr>
          <w:tblCellSpacing w:w="15" w:type="dxa"/>
        </w:trPr>
        <w:tc>
          <w:tcPr>
            <w:tcW w:w="250" w:type="pct"/>
            <w:hideMark/>
          </w:tcPr>
          <w:p w:rsidR="00CD0C50" w:rsidRDefault="00CD0C50">
            <w:pPr>
              <w:rPr>
                <w:rFonts w:eastAsia="Times New Roman"/>
              </w:rPr>
            </w:pPr>
          </w:p>
        </w:tc>
        <w:tc>
          <w:tcPr>
            <w:tcW w:w="4000" w:type="pct"/>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Toluene      ( 1,000.00) </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b/>
                <w:bCs/>
                <w:color w:val="000000"/>
                <w:sz w:val="20"/>
                <w:szCs w:val="20"/>
              </w:rPr>
              <w:t>EPCRA 302 Extremely Hazardous:</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b/>
                <w:bCs/>
                <w:color w:val="000000"/>
                <w:sz w:val="20"/>
                <w:szCs w:val="20"/>
              </w:rPr>
              <w:t>EPCRA 313 Toxic Chemicals:</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CD0C50">
        <w:trPr>
          <w:tblCellSpacing w:w="15" w:type="dxa"/>
        </w:trPr>
        <w:tc>
          <w:tcPr>
            <w:tcW w:w="250" w:type="pct"/>
            <w:hideMark/>
          </w:tcPr>
          <w:p w:rsidR="00CD0C50" w:rsidRDefault="00CD0C50">
            <w:pPr>
              <w:rPr>
                <w:rFonts w:eastAsia="Times New Roman"/>
              </w:rPr>
            </w:pPr>
          </w:p>
        </w:tc>
        <w:tc>
          <w:tcPr>
            <w:tcW w:w="4000" w:type="pct"/>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Toluene </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b/>
                <w:bCs/>
                <w:color w:val="000000"/>
                <w:sz w:val="20"/>
                <w:szCs w:val="20"/>
              </w:rPr>
              <w:t xml:space="preserve">Proposition 65 - Carcinogens (&gt;0.0%):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b/>
                <w:bCs/>
                <w:color w:val="000000"/>
                <w:sz w:val="20"/>
                <w:szCs w:val="20"/>
              </w:rPr>
              <w:t>Proposition 65 - Developmental Toxins (&gt;0.0%):</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CD0C50">
        <w:trPr>
          <w:tblCellSpacing w:w="15" w:type="dxa"/>
        </w:trPr>
        <w:tc>
          <w:tcPr>
            <w:tcW w:w="250" w:type="pct"/>
            <w:hideMark/>
          </w:tcPr>
          <w:p w:rsidR="00CD0C50" w:rsidRDefault="00CD0C50">
            <w:pPr>
              <w:rPr>
                <w:rFonts w:eastAsia="Times New Roman"/>
              </w:rPr>
            </w:pPr>
          </w:p>
        </w:tc>
        <w:tc>
          <w:tcPr>
            <w:tcW w:w="4000" w:type="pct"/>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Toluene </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b/>
                <w:bCs/>
                <w:color w:val="000000"/>
                <w:sz w:val="20"/>
                <w:szCs w:val="20"/>
              </w:rPr>
              <w:t>Proposition 65 - Female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b/>
                <w:bCs/>
                <w:color w:val="000000"/>
                <w:sz w:val="20"/>
                <w:szCs w:val="20"/>
              </w:rPr>
              <w:t>Proposition 65 - Male Repro Toxins (&gt;0.0%):</w:t>
            </w:r>
            <w:r>
              <w:rPr>
                <w:rFonts w:ascii="Arial" w:eastAsia="Times New Roman" w:hAnsi="Arial" w:cs="Arial"/>
                <w:color w:val="000000"/>
                <w:sz w:val="20"/>
                <w:szCs w:val="20"/>
              </w:rPr>
              <w:t xml:space="preserve"> </w:t>
            </w:r>
            <w:r>
              <w:rPr>
                <w:rFonts w:ascii="Arial" w:eastAsia="Times New Roman" w:hAnsi="Arial" w:cs="Arial"/>
                <w:color w:val="000000"/>
                <w:sz w:val="20"/>
                <w:szCs w:val="20"/>
              </w:rPr>
              <w:br/>
              <w:t xml:space="preserve">To the best of our knowledge, there are no chemicals at levels which require reporting under this statute. </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b/>
                <w:bCs/>
                <w:color w:val="000000"/>
                <w:sz w:val="20"/>
                <w:szCs w:val="20"/>
              </w:rPr>
              <w:t>New Jersey RTK Substances (&gt;1%):</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CD0C50">
        <w:trPr>
          <w:tblCellSpacing w:w="15" w:type="dxa"/>
        </w:trPr>
        <w:tc>
          <w:tcPr>
            <w:tcW w:w="250" w:type="pct"/>
            <w:hideMark/>
          </w:tcPr>
          <w:p w:rsidR="00CD0C50" w:rsidRDefault="00CD0C50">
            <w:pPr>
              <w:rPr>
                <w:rFonts w:eastAsia="Times New Roman"/>
              </w:rPr>
            </w:pPr>
          </w:p>
        </w:tc>
        <w:tc>
          <w:tcPr>
            <w:tcW w:w="4000" w:type="pct"/>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Calcium peroxide (Ca(O2)) </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CD0C50">
        <w:trPr>
          <w:tblCellSpacing w:w="15" w:type="dxa"/>
        </w:trPr>
        <w:tc>
          <w:tcPr>
            <w:tcW w:w="250" w:type="pct"/>
            <w:hideMark/>
          </w:tcPr>
          <w:p w:rsidR="00CD0C50" w:rsidRDefault="00CD0C50">
            <w:pPr>
              <w:rPr>
                <w:rFonts w:eastAsia="Times New Roman"/>
              </w:rPr>
            </w:pPr>
          </w:p>
        </w:tc>
        <w:tc>
          <w:tcPr>
            <w:tcW w:w="4000" w:type="pct"/>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Toluene </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b/>
                <w:bCs/>
                <w:color w:val="000000"/>
                <w:sz w:val="20"/>
                <w:szCs w:val="20"/>
              </w:rPr>
              <w:t>Pennsylvania RTK Substances (&gt;1%):</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57"/>
        <w:gridCol w:w="9843"/>
      </w:tblGrid>
      <w:tr w:rsidR="00CD0C50">
        <w:trPr>
          <w:tblCellSpacing w:w="15" w:type="dxa"/>
        </w:trPr>
        <w:tc>
          <w:tcPr>
            <w:tcW w:w="250" w:type="pct"/>
            <w:hideMark/>
          </w:tcPr>
          <w:p w:rsidR="00CD0C50" w:rsidRDefault="00CD0C50">
            <w:pPr>
              <w:rPr>
                <w:rFonts w:eastAsia="Times New Roman"/>
              </w:rPr>
            </w:pPr>
          </w:p>
        </w:tc>
        <w:tc>
          <w:tcPr>
            <w:tcW w:w="4000" w:type="pct"/>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 xml:space="preserve">Toluene </w:t>
            </w:r>
          </w:p>
        </w:tc>
      </w:tr>
    </w:tbl>
    <w:p w:rsidR="00D05C03" w:rsidRDefault="00D05C03">
      <w:pPr>
        <w:rPr>
          <w:rFonts w:eastAsia="Times New Roman"/>
          <w:b/>
        </w:rPr>
      </w:pPr>
      <w:r w:rsidRPr="00D05C03">
        <w:rPr>
          <w:rFonts w:eastAsia="Times New Roman"/>
          <w:b/>
        </w:rPr>
        <w:t>California CARB Category</w:t>
      </w:r>
      <w:r>
        <w:rPr>
          <w:rFonts w:eastAsia="Times New Roman"/>
          <w:b/>
        </w:rPr>
        <w:t>:</w:t>
      </w:r>
    </w:p>
    <w:p w:rsidR="00D05C03" w:rsidRDefault="00D05C03" w:rsidP="00D05C03">
      <w:pPr>
        <w:ind w:left="720"/>
        <w:rPr>
          <w:rFonts w:ascii="Arial" w:eastAsia="Times New Roman" w:hAnsi="Arial" w:cs="Arial"/>
          <w:color w:val="000000"/>
          <w:sz w:val="20"/>
          <w:szCs w:val="20"/>
        </w:rPr>
      </w:pPr>
      <w:r>
        <w:rPr>
          <w:rFonts w:ascii="Arial" w:eastAsia="Times New Roman" w:hAnsi="Arial" w:cs="Arial"/>
          <w:color w:val="000000"/>
          <w:sz w:val="20"/>
          <w:szCs w:val="20"/>
        </w:rPr>
        <w:t>Chemically Curing Sealant &lt;3.0% VOC</w:t>
      </w:r>
      <w:r w:rsidR="00287DF5">
        <w:rPr>
          <w:rFonts w:ascii="Arial" w:eastAsia="Times New Roman" w:hAnsi="Arial" w:cs="Arial"/>
          <w:color w:val="000000"/>
          <w:sz w:val="20"/>
          <w:szCs w:val="20"/>
        </w:rPr>
        <w:t xml:space="preserve"> </w:t>
      </w:r>
      <w:r w:rsidR="00287DF5">
        <w:rPr>
          <w:rFonts w:ascii="Arial" w:eastAsia="Times New Roman" w:hAnsi="Arial" w:cs="Arial"/>
          <w:color w:val="000000"/>
          <w:sz w:val="20"/>
          <w:szCs w:val="20"/>
        </w:rPr>
        <w:t>W/W</w:t>
      </w:r>
      <w:bookmarkStart w:id="0" w:name="_GoBack"/>
      <w:bookmarkEnd w:id="0"/>
    </w:p>
    <w:p w:rsidR="00D05C03" w:rsidRPr="00D05C03" w:rsidRDefault="00D05C03" w:rsidP="00D05C03">
      <w:pPr>
        <w:ind w:left="720"/>
        <w:rPr>
          <w:rFonts w:eastAsia="Times New Roman"/>
        </w:rPr>
      </w:pP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CD0C50" w:rsidRDefault="00B63D6C">
            <w:pPr>
              <w:pStyle w:val="NormalWeb"/>
              <w:jc w:val="center"/>
              <w:rPr>
                <w:rFonts w:ascii="Arial" w:hAnsi="Arial" w:cs="Arial"/>
                <w:b/>
                <w:bCs/>
                <w:color w:val="000000"/>
                <w:sz w:val="28"/>
                <w:szCs w:val="28"/>
              </w:rPr>
            </w:pPr>
            <w:r>
              <w:rPr>
                <w:rFonts w:ascii="Arial" w:hAnsi="Arial" w:cs="Arial"/>
                <w:b/>
                <w:bCs/>
                <w:color w:val="000000"/>
                <w:sz w:val="28"/>
                <w:szCs w:val="28"/>
              </w:rPr>
              <w:t>16. Other information</w:t>
            </w:r>
          </w:p>
        </w:tc>
      </w:tr>
    </w:tbl>
    <w:p w:rsidR="00CD0C50" w:rsidRDefault="00B63D6C">
      <w:pPr>
        <w:rPr>
          <w:rFonts w:eastAsia="Times New Roman"/>
        </w:rPr>
      </w:pPr>
      <w:r>
        <w:rPr>
          <w:rFonts w:eastAsia="Times New Roman"/>
        </w:rPr>
        <w:t xml:space="preserve">  </w:t>
      </w: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vAlign w:val="center"/>
            <w:hideMark/>
          </w:tcPr>
          <w:p w:rsidR="00CD0C50" w:rsidRDefault="00B63D6C">
            <w:pPr>
              <w:pStyle w:val="NormalWeb"/>
              <w:rPr>
                <w:rFonts w:ascii="Arial" w:hAnsi="Arial" w:cs="Arial"/>
                <w:color w:val="000000"/>
                <w:sz w:val="20"/>
                <w:szCs w:val="20"/>
              </w:rPr>
            </w:pPr>
            <w:r>
              <w:rPr>
                <w:rFonts w:ascii="Arial" w:hAnsi="Arial" w:cs="Arial"/>
                <w:color w:val="000000"/>
                <w:sz w:val="20"/>
                <w:szCs w:val="20"/>
              </w:rPr>
              <w:t>The information and recommendations contained herein are based upon data believed to be correct. However, no guarantee or warranty of any kind, expressed or implied, is made with respect to the information contained herein. We accept no responsibility and disclaim all liability for any harmful effects which may be caused by exposure to our products. Customers/users of this product must comply with all applicable health and safety laws, regulations, and orders.</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vAlign w:val="center"/>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The full text of the phrases appearing in section 3 is:</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H225 Highly flammable liquid and vapor.</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H272 May intensify fire; oxidizer.</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H302 Harmful if swallowed.</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H304 May be fatal if swallowed and enters airways.</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H314 Causes severe skin burns and eye damage.</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lastRenderedPageBreak/>
              <w:t>H315 Causes skin irritation.</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H318 Causes serious eye damage.</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H319 Causes serious eye irritation.</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H335 May cause respiratory irritation.</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H336 May cause drowsiness and dizziness.</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H361d Suspected of damaging the unborn child.</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H373 May cause damage to organs through prolonged or repeated exposure.</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CD0C50">
            <w:pPr>
              <w:rPr>
                <w:rFonts w:eastAsia="Times New Roman"/>
              </w:rPr>
            </w:pP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b/>
                <w:bCs/>
                <w:color w:val="000000"/>
                <w:sz w:val="20"/>
                <w:szCs w:val="20"/>
              </w:rPr>
            </w:pPr>
            <w:r>
              <w:rPr>
                <w:rFonts w:ascii="Arial" w:eastAsia="Times New Roman" w:hAnsi="Arial" w:cs="Arial"/>
                <w:b/>
                <w:bCs/>
                <w:color w:val="000000"/>
                <w:sz w:val="20"/>
                <w:szCs w:val="20"/>
              </w:rPr>
              <w:t>This is the first version in the GHS SDS format. Listings of changes from previous versions in other formats are not applicable.</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rPr>
                <w:rFonts w:ascii="Arial" w:eastAsia="Times New Roman" w:hAnsi="Arial" w:cs="Arial"/>
                <w:color w:val="000000"/>
                <w:sz w:val="20"/>
                <w:szCs w:val="20"/>
              </w:rPr>
            </w:pPr>
            <w:r>
              <w:rPr>
                <w:rFonts w:ascii="Arial" w:eastAsia="Times New Roman" w:hAnsi="Arial" w:cs="Arial"/>
                <w:color w:val="000000"/>
                <w:sz w:val="20"/>
                <w:szCs w:val="20"/>
              </w:rPr>
              <w:t>DISCLAIMER: The information and recommendations contained herein are based upon data believed to be correct. Life Industries Corporation assumes no liability for misinterpretation of the data contained within this form as any type of warranty or guarantee of the product.</w:t>
            </w:r>
          </w:p>
        </w:tc>
      </w:tr>
    </w:tbl>
    <w:p w:rsidR="00CD0C50" w:rsidRDefault="00CD0C50">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CD0C50">
        <w:trPr>
          <w:tblCellSpacing w:w="15" w:type="dxa"/>
        </w:trPr>
        <w:tc>
          <w:tcPr>
            <w:tcW w:w="0" w:type="auto"/>
            <w:hideMark/>
          </w:tcPr>
          <w:p w:rsidR="00CD0C50" w:rsidRDefault="00B63D6C">
            <w:pPr>
              <w:jc w:val="center"/>
              <w:rPr>
                <w:rFonts w:ascii="Arial" w:eastAsia="Times New Roman" w:hAnsi="Arial" w:cs="Arial"/>
                <w:color w:val="000000"/>
                <w:sz w:val="20"/>
                <w:szCs w:val="20"/>
              </w:rPr>
            </w:pPr>
            <w:r>
              <w:rPr>
                <w:rFonts w:ascii="Arial" w:eastAsia="Times New Roman" w:hAnsi="Arial" w:cs="Arial"/>
                <w:color w:val="000000"/>
                <w:sz w:val="20"/>
                <w:szCs w:val="20"/>
              </w:rPr>
              <w:t>End of Document</w:t>
            </w:r>
          </w:p>
        </w:tc>
      </w:tr>
    </w:tbl>
    <w:p w:rsidR="00CD0C50" w:rsidRDefault="00CD0C50">
      <w:pPr>
        <w:rPr>
          <w:rFonts w:eastAsia="Times New Roman"/>
        </w:rPr>
      </w:pPr>
    </w:p>
    <w:sectPr w:rsidR="00CD0C50" w:rsidSect="00A10FCB">
      <w:headerReference w:type="default" r:id="rId7"/>
      <w:footerReference w:type="default" r:id="rId8"/>
      <w:pgSz w:w="12240" w:h="15840"/>
      <w:pgMar w:top="1440" w:right="1800"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E50" w:rsidRDefault="00486E50" w:rsidP="00A10FCB">
      <w:r>
        <w:separator/>
      </w:r>
    </w:p>
  </w:endnote>
  <w:endnote w:type="continuationSeparator" w:id="0">
    <w:p w:rsidR="00486E50" w:rsidRDefault="00486E50" w:rsidP="00A1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93063"/>
      <w:docPartObj>
        <w:docPartGallery w:val="Page Numbers (Bottom of Page)"/>
        <w:docPartUnique/>
      </w:docPartObj>
    </w:sdtPr>
    <w:sdtEndPr/>
    <w:sdtContent>
      <w:sdt>
        <w:sdtPr>
          <w:id w:val="565050477"/>
          <w:docPartObj>
            <w:docPartGallery w:val="Page Numbers (Top of Page)"/>
            <w:docPartUnique/>
          </w:docPartObj>
        </w:sdtPr>
        <w:sdtEndPr/>
        <w:sdtContent>
          <w:p w:rsidR="0028341C" w:rsidRDefault="0028341C">
            <w:pPr>
              <w:pStyle w:val="Footer"/>
              <w:jc w:val="center"/>
            </w:pPr>
            <w:r>
              <w:t xml:space="preserve">Page </w:t>
            </w:r>
            <w:r>
              <w:rPr>
                <w:b/>
              </w:rPr>
              <w:fldChar w:fldCharType="begin"/>
            </w:r>
            <w:r>
              <w:rPr>
                <w:b/>
              </w:rPr>
              <w:instrText xml:space="preserve"> PAGE </w:instrText>
            </w:r>
            <w:r>
              <w:rPr>
                <w:b/>
              </w:rPr>
              <w:fldChar w:fldCharType="separate"/>
            </w:r>
            <w:r w:rsidR="00287DF5">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287DF5">
              <w:rPr>
                <w:b/>
                <w:noProof/>
              </w:rPr>
              <w:t>10</w:t>
            </w:r>
            <w:r>
              <w:rPr>
                <w:b/>
              </w:rPr>
              <w:fldChar w:fldCharType="end"/>
            </w:r>
          </w:p>
        </w:sdtContent>
      </w:sdt>
    </w:sdtContent>
  </w:sdt>
  <w:p w:rsidR="0028341C" w:rsidRDefault="002834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E50" w:rsidRDefault="00486E50" w:rsidP="00A10FCB">
      <w:r>
        <w:separator/>
      </w:r>
    </w:p>
  </w:footnote>
  <w:footnote w:type="continuationSeparator" w:id="0">
    <w:p w:rsidR="00486E50" w:rsidRDefault="00486E50" w:rsidP="00A10F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10500"/>
    </w:tblGrid>
    <w:tr w:rsidR="00A10FCB" w:rsidTr="009D74D4">
      <w:trPr>
        <w:tblCellSpacing w:w="15" w:type="dxa"/>
      </w:trPr>
      <w:tc>
        <w:tcPr>
          <w:tcW w:w="0" w:type="auto"/>
          <w:hideMark/>
        </w:tcPr>
        <w:p w:rsidR="00A10FCB" w:rsidRDefault="00A10FCB" w:rsidP="009D74D4">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Safety Data Sheet </w:t>
          </w:r>
        </w:p>
      </w:tc>
    </w:tr>
    <w:tr w:rsidR="00A10FCB" w:rsidTr="009D74D4">
      <w:trPr>
        <w:tblCellSpacing w:w="15" w:type="dxa"/>
      </w:trPr>
      <w:tc>
        <w:tcPr>
          <w:tcW w:w="0" w:type="auto"/>
          <w:hideMark/>
        </w:tcPr>
        <w:p w:rsidR="00A10FCB" w:rsidRDefault="00A10FCB" w:rsidP="009D74D4">
          <w:pPr>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Life Calk (Mahogany) </w:t>
          </w:r>
        </w:p>
      </w:tc>
    </w:tr>
  </w:tbl>
  <w:p w:rsidR="00A10FCB" w:rsidRDefault="00A10FCB" w:rsidP="00A10FCB">
    <w:pPr>
      <w:rPr>
        <w:rFonts w:eastAsia="Times New Roman"/>
        <w:vanish/>
      </w:rPr>
    </w:pPr>
  </w:p>
  <w:tbl>
    <w:tblPr>
      <w:tblW w:w="10500" w:type="dxa"/>
      <w:tblCellSpacing w:w="15" w:type="dxa"/>
      <w:tblCellMar>
        <w:top w:w="15" w:type="dxa"/>
        <w:left w:w="15" w:type="dxa"/>
        <w:bottom w:w="15" w:type="dxa"/>
        <w:right w:w="15" w:type="dxa"/>
      </w:tblCellMar>
      <w:tblLook w:val="04A0" w:firstRow="1" w:lastRow="0" w:firstColumn="1" w:lastColumn="0" w:noHBand="0" w:noVBand="1"/>
    </w:tblPr>
    <w:tblGrid>
      <w:gridCol w:w="6670"/>
      <w:gridCol w:w="3830"/>
    </w:tblGrid>
    <w:tr w:rsidR="00A10FCB" w:rsidTr="009D74D4">
      <w:trPr>
        <w:tblCellSpacing w:w="15" w:type="dxa"/>
      </w:trPr>
      <w:tc>
        <w:tcPr>
          <w:tcW w:w="1750" w:type="pct"/>
          <w:hideMark/>
        </w:tcPr>
        <w:p w:rsidR="00A10FCB" w:rsidRDefault="00A10FCB" w:rsidP="009D74D4">
          <w:pPr>
            <w:rPr>
              <w:rFonts w:ascii="Arial" w:eastAsia="Times New Roman" w:hAnsi="Arial" w:cs="Arial"/>
              <w:b/>
              <w:bCs/>
              <w:color w:val="000000"/>
              <w:sz w:val="20"/>
              <w:szCs w:val="20"/>
            </w:rPr>
          </w:pPr>
          <w:r>
            <w:rPr>
              <w:rFonts w:ascii="Arial" w:eastAsia="Times New Roman" w:hAnsi="Arial" w:cs="Arial"/>
              <w:b/>
              <w:bCs/>
              <w:color w:val="000000"/>
              <w:sz w:val="20"/>
              <w:szCs w:val="20"/>
            </w:rPr>
            <w:t>SDS Revision Date:</w:t>
          </w:r>
        </w:p>
      </w:tc>
      <w:tc>
        <w:tcPr>
          <w:tcW w:w="1000" w:type="pct"/>
          <w:hideMark/>
        </w:tcPr>
        <w:p w:rsidR="00A10FCB" w:rsidRDefault="00D05C03" w:rsidP="00D05C03">
          <w:pPr>
            <w:rPr>
              <w:rFonts w:ascii="Arial" w:eastAsia="Times New Roman" w:hAnsi="Arial" w:cs="Arial"/>
              <w:b/>
              <w:bCs/>
              <w:color w:val="000000"/>
              <w:sz w:val="20"/>
              <w:szCs w:val="20"/>
            </w:rPr>
          </w:pPr>
          <w:r>
            <w:rPr>
              <w:rFonts w:ascii="Arial" w:eastAsia="Times New Roman" w:hAnsi="Arial" w:cs="Arial"/>
              <w:b/>
              <w:bCs/>
              <w:color w:val="000000"/>
              <w:sz w:val="20"/>
              <w:szCs w:val="20"/>
            </w:rPr>
            <w:t>05/02</w:t>
          </w:r>
          <w:r w:rsidR="00A10FCB">
            <w:rPr>
              <w:rFonts w:ascii="Arial" w:eastAsia="Times New Roman" w:hAnsi="Arial" w:cs="Arial"/>
              <w:b/>
              <w:bCs/>
              <w:color w:val="000000"/>
              <w:sz w:val="20"/>
              <w:szCs w:val="20"/>
            </w:rPr>
            <w:t>/201</w:t>
          </w:r>
          <w:r>
            <w:rPr>
              <w:rFonts w:ascii="Arial" w:eastAsia="Times New Roman" w:hAnsi="Arial" w:cs="Arial"/>
              <w:b/>
              <w:bCs/>
              <w:color w:val="000000"/>
              <w:sz w:val="20"/>
              <w:szCs w:val="20"/>
            </w:rPr>
            <w:t>9</w:t>
          </w:r>
          <w:r w:rsidR="00DE370A">
            <w:rPr>
              <w:rFonts w:ascii="Arial" w:eastAsia="Times New Roman" w:hAnsi="Arial" w:cs="Arial"/>
              <w:b/>
              <w:bCs/>
              <w:color w:val="000000"/>
              <w:sz w:val="20"/>
              <w:szCs w:val="20"/>
            </w:rPr>
            <w:t xml:space="preserve">     File No.: 0003</w:t>
          </w:r>
        </w:p>
      </w:tc>
    </w:tr>
  </w:tbl>
  <w:p w:rsidR="00A10FCB" w:rsidRDefault="00D05C03" w:rsidP="00D05C03">
    <w:pPr>
      <w:pStyle w:val="Header"/>
      <w:tabs>
        <w:tab w:val="clear" w:pos="4320"/>
        <w:tab w:val="clear" w:pos="8640"/>
        <w:tab w:val="left" w:pos="7740"/>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D6C"/>
    <w:rsid w:val="001C294C"/>
    <w:rsid w:val="00204272"/>
    <w:rsid w:val="0028341C"/>
    <w:rsid w:val="00287DF5"/>
    <w:rsid w:val="00486E50"/>
    <w:rsid w:val="00952C33"/>
    <w:rsid w:val="00A10FCB"/>
    <w:rsid w:val="00B63D6C"/>
    <w:rsid w:val="00CC32AA"/>
    <w:rsid w:val="00CD0C50"/>
    <w:rsid w:val="00D05C03"/>
    <w:rsid w:val="00DE370A"/>
    <w:rsid w:val="00FB0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6F49F9-1308-4ADC-A306-D9F4A83F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head"/>
    <w:basedOn w:val="Normal"/>
    <w:pPr>
      <w:spacing w:before="100" w:beforeAutospacing="1" w:after="100" w:afterAutospacing="1"/>
    </w:pPr>
    <w:rPr>
      <w:rFonts w:ascii="Arial" w:hAnsi="Arial" w:cs="Arial"/>
      <w:b/>
      <w:bCs/>
      <w:color w:val="000000"/>
      <w:sz w:val="28"/>
      <w:szCs w:val="28"/>
    </w:rPr>
  </w:style>
  <w:style w:type="paragraph" w:customStyle="1" w:styleId="arial12">
    <w:name w:val="arial12"/>
    <w:basedOn w:val="Normal"/>
    <w:pPr>
      <w:spacing w:before="100" w:beforeAutospacing="1" w:after="100" w:afterAutospacing="1"/>
    </w:pPr>
    <w:rPr>
      <w:rFonts w:ascii="Arial" w:hAnsi="Arial" w:cs="Arial"/>
      <w:color w:val="000000"/>
      <w:sz w:val="20"/>
      <w:szCs w:val="20"/>
    </w:rPr>
  </w:style>
  <w:style w:type="paragraph" w:customStyle="1" w:styleId="arial12b">
    <w:name w:val="arial12b"/>
    <w:basedOn w:val="Normal"/>
    <w:pPr>
      <w:spacing w:before="100" w:beforeAutospacing="1" w:after="100" w:afterAutospacing="1"/>
    </w:pPr>
    <w:rPr>
      <w:rFonts w:ascii="Arial" w:hAnsi="Arial" w:cs="Arial"/>
      <w:b/>
      <w:bCs/>
      <w:color w:val="000000"/>
      <w:sz w:val="20"/>
      <w:szCs w:val="20"/>
    </w:rPr>
  </w:style>
  <w:style w:type="paragraph" w:customStyle="1" w:styleId="arial10">
    <w:name w:val="arial10"/>
    <w:basedOn w:val="Normal"/>
    <w:pPr>
      <w:spacing w:before="100" w:beforeAutospacing="1" w:after="100" w:afterAutospacing="1"/>
    </w:pPr>
    <w:rPr>
      <w:rFonts w:ascii="Arial" w:hAnsi="Arial" w:cs="Arial"/>
      <w:color w:val="000000"/>
      <w:sz w:val="16"/>
      <w:szCs w:val="16"/>
    </w:rPr>
  </w:style>
  <w:style w:type="paragraph" w:customStyle="1" w:styleId="arial10b">
    <w:name w:val="arial10b"/>
    <w:basedOn w:val="Normal"/>
    <w:pPr>
      <w:spacing w:before="100" w:beforeAutospacing="1" w:after="100" w:afterAutospacing="1"/>
    </w:pPr>
    <w:rPr>
      <w:rFonts w:ascii="Arial" w:hAnsi="Arial" w:cs="Arial"/>
      <w:b/>
      <w:bCs/>
      <w:color w:val="000000"/>
      <w:sz w:val="16"/>
      <w:szCs w:val="16"/>
    </w:rPr>
  </w:style>
  <w:style w:type="paragraph" w:customStyle="1" w:styleId="arial16">
    <w:name w:val="arial16"/>
    <w:basedOn w:val="Normal"/>
    <w:pPr>
      <w:spacing w:before="100" w:beforeAutospacing="1" w:after="100" w:afterAutospacing="1"/>
    </w:pPr>
    <w:rPr>
      <w:rFonts w:ascii="Arial" w:hAnsi="Arial" w:cs="Arial"/>
      <w:color w:val="000000"/>
      <w:sz w:val="28"/>
      <w:szCs w:val="28"/>
    </w:rPr>
  </w:style>
  <w:style w:type="paragraph" w:customStyle="1" w:styleId="arial12r">
    <w:name w:val="arial12r"/>
    <w:basedOn w:val="Normal"/>
    <w:pPr>
      <w:spacing w:before="100" w:beforeAutospacing="1" w:after="100" w:afterAutospacing="1"/>
    </w:pPr>
    <w:rPr>
      <w:rFonts w:ascii="Arial" w:hAnsi="Arial" w:cs="Arial"/>
      <w:b/>
      <w:bCs/>
      <w:color w:val="000000"/>
      <w:sz w:val="20"/>
      <w:szCs w:val="20"/>
    </w:rPr>
  </w:style>
  <w:style w:type="paragraph" w:styleId="NormalWeb">
    <w:name w:val="Normal (Web)"/>
    <w:basedOn w:val="Normal"/>
    <w:uiPriority w:val="99"/>
    <w:semiHidden/>
    <w:unhideWhenUsed/>
    <w:pPr>
      <w:spacing w:before="100" w:beforeAutospacing="1" w:after="100" w:afterAutospacing="1"/>
    </w:pPr>
  </w:style>
  <w:style w:type="paragraph" w:styleId="BalloonText">
    <w:name w:val="Balloon Text"/>
    <w:basedOn w:val="Normal"/>
    <w:link w:val="BalloonTextChar"/>
    <w:uiPriority w:val="99"/>
    <w:semiHidden/>
    <w:unhideWhenUsed/>
    <w:rsid w:val="00A10F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0FCB"/>
    <w:rPr>
      <w:rFonts w:ascii="Lucida Grande" w:eastAsiaTheme="minorEastAsia" w:hAnsi="Lucida Grande" w:cs="Lucida Grande"/>
      <w:sz w:val="18"/>
      <w:szCs w:val="18"/>
    </w:rPr>
  </w:style>
  <w:style w:type="paragraph" w:styleId="Header">
    <w:name w:val="header"/>
    <w:basedOn w:val="Normal"/>
    <w:link w:val="HeaderChar"/>
    <w:uiPriority w:val="99"/>
    <w:unhideWhenUsed/>
    <w:rsid w:val="00A10FCB"/>
    <w:pPr>
      <w:tabs>
        <w:tab w:val="center" w:pos="4320"/>
        <w:tab w:val="right" w:pos="8640"/>
      </w:tabs>
    </w:pPr>
  </w:style>
  <w:style w:type="character" w:customStyle="1" w:styleId="HeaderChar">
    <w:name w:val="Header Char"/>
    <w:basedOn w:val="DefaultParagraphFont"/>
    <w:link w:val="Header"/>
    <w:uiPriority w:val="99"/>
    <w:rsid w:val="00A10FCB"/>
    <w:rPr>
      <w:rFonts w:eastAsiaTheme="minorEastAsia"/>
      <w:sz w:val="24"/>
      <w:szCs w:val="24"/>
    </w:rPr>
  </w:style>
  <w:style w:type="paragraph" w:styleId="Footer">
    <w:name w:val="footer"/>
    <w:basedOn w:val="Normal"/>
    <w:link w:val="FooterChar"/>
    <w:uiPriority w:val="99"/>
    <w:unhideWhenUsed/>
    <w:rsid w:val="00A10FCB"/>
    <w:pPr>
      <w:tabs>
        <w:tab w:val="center" w:pos="4320"/>
        <w:tab w:val="right" w:pos="8640"/>
      </w:tabs>
    </w:pPr>
  </w:style>
  <w:style w:type="character" w:customStyle="1" w:styleId="FooterChar">
    <w:name w:val="Footer Char"/>
    <w:basedOn w:val="DefaultParagraphFont"/>
    <w:link w:val="Footer"/>
    <w:uiPriority w:val="99"/>
    <w:rsid w:val="00A10FC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2351</Words>
  <Characters>14609</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life-115</vt:lpstr>
    </vt:vector>
  </TitlesOfParts>
  <Company/>
  <LinksUpToDate>false</LinksUpToDate>
  <CharactersWithSpaces>16927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life-115</dc:title>
  <dc:subject/>
  <dc:creator>Shen</dc:creator>
  <cp:keywords/>
  <dc:description/>
  <cp:lastModifiedBy>Grace Schmidt</cp:lastModifiedBy>
  <cp:revision>4</cp:revision>
  <dcterms:created xsi:type="dcterms:W3CDTF">2015-06-12T16:37:00Z</dcterms:created>
  <dcterms:modified xsi:type="dcterms:W3CDTF">2019-05-22T16:28:00Z</dcterms:modified>
</cp:coreProperties>
</file>